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42" w:rsidRDefault="00006B5B" w:rsidP="00AF3CD8">
      <w:pPr>
        <w:tabs>
          <w:tab w:val="center" w:pos="6660"/>
        </w:tabs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C357A2">
        <w:rPr>
          <w:rFonts w:ascii="Arial Narrow" w:hAnsi="Arial Narrow" w:cs="Arial"/>
          <w:b/>
          <w:bCs/>
        </w:rPr>
        <w:t>Celldömölk Város Önkormányzata Képviselő-testületének</w:t>
      </w:r>
    </w:p>
    <w:p w:rsidR="00006B5B" w:rsidRPr="00C357A2" w:rsidRDefault="00006B5B" w:rsidP="00DD7042">
      <w:pPr>
        <w:tabs>
          <w:tab w:val="center" w:pos="6660"/>
        </w:tabs>
        <w:jc w:val="center"/>
        <w:rPr>
          <w:rFonts w:ascii="Arial Narrow" w:hAnsi="Arial Narrow" w:cs="Arial"/>
          <w:b/>
          <w:bCs/>
        </w:rPr>
      </w:pPr>
      <w:r w:rsidRPr="00C357A2">
        <w:rPr>
          <w:rFonts w:ascii="Arial Narrow" w:hAnsi="Arial Narrow" w:cs="Arial"/>
          <w:b/>
          <w:bCs/>
        </w:rPr>
        <w:t>…/… (…) önkormányzati rendelete</w:t>
      </w:r>
    </w:p>
    <w:p w:rsidR="00DD7042" w:rsidRDefault="00006B5B" w:rsidP="00DD7042">
      <w:pPr>
        <w:tabs>
          <w:tab w:val="center" w:pos="6660"/>
        </w:tabs>
        <w:jc w:val="center"/>
        <w:rPr>
          <w:rFonts w:ascii="Arial Narrow" w:hAnsi="Arial Narrow" w:cs="Arial"/>
          <w:b/>
          <w:bCs/>
        </w:rPr>
      </w:pPr>
      <w:r w:rsidRPr="00C357A2">
        <w:rPr>
          <w:rFonts w:ascii="Arial Narrow" w:hAnsi="Arial Narrow" w:cs="Arial"/>
          <w:b/>
          <w:bCs/>
        </w:rPr>
        <w:t>a Celldömölk város településkép védelméről szóló 4/2019. (III. 28.)</w:t>
      </w:r>
    </w:p>
    <w:p w:rsidR="00006B5B" w:rsidRPr="00C357A2" w:rsidRDefault="00006B5B" w:rsidP="00DD7042">
      <w:pPr>
        <w:tabs>
          <w:tab w:val="center" w:pos="6660"/>
        </w:tabs>
        <w:jc w:val="center"/>
        <w:rPr>
          <w:rFonts w:ascii="Arial Narrow" w:hAnsi="Arial Narrow" w:cs="Arial"/>
          <w:b/>
          <w:bCs/>
        </w:rPr>
      </w:pPr>
      <w:r w:rsidRPr="00C357A2">
        <w:rPr>
          <w:rFonts w:ascii="Arial Narrow" w:hAnsi="Arial Narrow" w:cs="Arial"/>
          <w:b/>
          <w:bCs/>
        </w:rPr>
        <w:t>önkormányzati rendelete módosításáról</w:t>
      </w:r>
    </w:p>
    <w:p w:rsidR="00006B5B" w:rsidRDefault="00006B5B" w:rsidP="00B22653">
      <w:pPr>
        <w:tabs>
          <w:tab w:val="center" w:pos="6660"/>
        </w:tabs>
        <w:rPr>
          <w:rFonts w:ascii="Arial Narrow" w:hAnsi="Arial Narrow" w:cs="Arial"/>
        </w:rPr>
      </w:pPr>
    </w:p>
    <w:p w:rsidR="00006B5B" w:rsidRDefault="00006B5B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Celldömölk Város Önkormányzatának Képviselő-testülete az Alaptörvény 32. cikk (2) bekezdésében meghatározott eredeti jogalkotói hatáskörében, </w:t>
      </w:r>
      <w:r w:rsidR="00BD3D21">
        <w:rPr>
          <w:rFonts w:ascii="Arial Narrow" w:hAnsi="Arial Narrow" w:cs="Arial"/>
        </w:rPr>
        <w:t xml:space="preserve">a településkép védelméről szóló 2016. évi LXXIV. törvény 12. § (2) bekezdésében </w:t>
      </w:r>
      <w:r>
        <w:rPr>
          <w:rFonts w:ascii="Arial Narrow" w:hAnsi="Arial Narrow" w:cs="Arial"/>
        </w:rPr>
        <w:t>meghatározott feladatkörében eljárva a következőket rendeli el:</w:t>
      </w:r>
    </w:p>
    <w:p w:rsidR="00006B5B" w:rsidRDefault="00006B5B" w:rsidP="00B22653">
      <w:pPr>
        <w:tabs>
          <w:tab w:val="center" w:pos="6660"/>
        </w:tabs>
        <w:rPr>
          <w:rFonts w:ascii="Arial Narrow" w:hAnsi="Arial Narrow" w:cs="Arial"/>
        </w:rPr>
      </w:pPr>
    </w:p>
    <w:p w:rsidR="00006B5B" w:rsidRDefault="00006B5B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1.§</w:t>
      </w:r>
    </w:p>
    <w:p w:rsidR="003212F2" w:rsidRDefault="003212F2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06B5B" w:rsidRDefault="00BD3D21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3212F2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)</w:t>
      </w:r>
      <w:r w:rsidR="003212F2">
        <w:rPr>
          <w:rFonts w:ascii="Arial Narrow" w:hAnsi="Arial Narrow" w:cs="Arial"/>
        </w:rPr>
        <w:t xml:space="preserve"> </w:t>
      </w:r>
      <w:r w:rsidR="00006B5B">
        <w:rPr>
          <w:rFonts w:ascii="Arial Narrow" w:hAnsi="Arial Narrow" w:cs="Arial"/>
        </w:rPr>
        <w:t xml:space="preserve">A Celldömölk </w:t>
      </w:r>
      <w:r w:rsidR="00707578">
        <w:rPr>
          <w:rFonts w:ascii="Arial Narrow" w:hAnsi="Arial Narrow" w:cs="Arial"/>
        </w:rPr>
        <w:t xml:space="preserve">város településkép védelméről szóló 4/2019. (III. 28.) önkormányzati rendelet </w:t>
      </w:r>
      <w:r w:rsidR="003212F2">
        <w:rPr>
          <w:rFonts w:ascii="Arial Narrow" w:hAnsi="Arial Narrow" w:cs="Arial"/>
        </w:rPr>
        <w:t xml:space="preserve">(a továbbiakban: rendelet) </w:t>
      </w:r>
      <w:r w:rsidR="00990E8E">
        <w:rPr>
          <w:rFonts w:ascii="Arial Narrow" w:hAnsi="Arial Narrow" w:cs="Arial"/>
        </w:rPr>
        <w:t>13</w:t>
      </w:r>
      <w:r w:rsidR="00707578">
        <w:rPr>
          <w:rFonts w:ascii="Arial Narrow" w:hAnsi="Arial Narrow" w:cs="Arial"/>
        </w:rPr>
        <w:t>. § (</w:t>
      </w:r>
      <w:r w:rsidR="00990E8E">
        <w:rPr>
          <w:rFonts w:ascii="Arial Narrow" w:hAnsi="Arial Narrow" w:cs="Arial"/>
        </w:rPr>
        <w:t>4</w:t>
      </w:r>
      <w:r w:rsidR="00707578">
        <w:rPr>
          <w:rFonts w:ascii="Arial Narrow" w:hAnsi="Arial Narrow" w:cs="Arial"/>
        </w:rPr>
        <w:t xml:space="preserve">) bekezdése </w:t>
      </w:r>
      <w:r w:rsidR="00C357A2">
        <w:rPr>
          <w:rFonts w:ascii="Arial Narrow" w:hAnsi="Arial Narrow" w:cs="Arial"/>
        </w:rPr>
        <w:t>helyébe a következő rendelkezés lép</w:t>
      </w:r>
      <w:r w:rsidR="00707578">
        <w:rPr>
          <w:rFonts w:ascii="Arial Narrow" w:hAnsi="Arial Narrow" w:cs="Arial"/>
        </w:rPr>
        <w:t>:</w:t>
      </w:r>
    </w:p>
    <w:p w:rsidR="00707578" w:rsidRDefault="00707578" w:rsidP="00B22653">
      <w:pPr>
        <w:tabs>
          <w:tab w:val="center" w:pos="6660"/>
        </w:tabs>
        <w:rPr>
          <w:rFonts w:ascii="Arial Narrow" w:hAnsi="Arial Narrow" w:cs="Arial"/>
        </w:rPr>
      </w:pPr>
    </w:p>
    <w:p w:rsidR="00707578" w:rsidRDefault="00707578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990E8E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)</w:t>
      </w:r>
      <w:r w:rsidR="00990E8E">
        <w:rPr>
          <w:rFonts w:ascii="Arial Narrow" w:hAnsi="Arial Narrow" w:cs="Arial"/>
        </w:rPr>
        <w:t xml:space="preserve"> Zártsorú és oldalhatáros beépítési mód esetében az épület oldalhatárra kerülő, 6 méternél magasabb falszakaszainak összes hossza legfeljebb 25 méter lehet</w:t>
      </w:r>
      <w:r>
        <w:rPr>
          <w:rFonts w:ascii="Arial Narrow" w:hAnsi="Arial Narrow" w:cs="Arial"/>
        </w:rPr>
        <w:t>.”</w:t>
      </w:r>
    </w:p>
    <w:p w:rsidR="00707578" w:rsidRDefault="00707578" w:rsidP="00B22653">
      <w:pPr>
        <w:tabs>
          <w:tab w:val="center" w:pos="6660"/>
        </w:tabs>
        <w:rPr>
          <w:rFonts w:ascii="Arial Narrow" w:hAnsi="Arial Narrow" w:cs="Arial"/>
        </w:rPr>
      </w:pPr>
    </w:p>
    <w:p w:rsidR="00707578" w:rsidRDefault="00BD3D21" w:rsidP="00707578">
      <w:pPr>
        <w:tabs>
          <w:tab w:val="center" w:pos="66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3212F2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="003212F2">
        <w:rPr>
          <w:rFonts w:ascii="Arial Narrow" w:hAnsi="Arial Narrow" w:cs="Arial"/>
        </w:rPr>
        <w:t xml:space="preserve"> </w:t>
      </w:r>
      <w:bookmarkStart w:id="1" w:name="_Hlk85096591"/>
      <w:r w:rsidR="00707578">
        <w:rPr>
          <w:rFonts w:ascii="Arial Narrow" w:hAnsi="Arial Narrow" w:cs="Arial"/>
        </w:rPr>
        <w:t xml:space="preserve">A </w:t>
      </w:r>
      <w:r w:rsidR="003212F2">
        <w:rPr>
          <w:rFonts w:ascii="Arial Narrow" w:hAnsi="Arial Narrow" w:cs="Arial"/>
        </w:rPr>
        <w:t xml:space="preserve">rendelet </w:t>
      </w:r>
      <w:r w:rsidR="00990E8E">
        <w:rPr>
          <w:rFonts w:ascii="Arial Narrow" w:hAnsi="Arial Narrow" w:cs="Arial"/>
        </w:rPr>
        <w:t>13</w:t>
      </w:r>
      <w:r w:rsidR="00707578">
        <w:rPr>
          <w:rFonts w:ascii="Arial Narrow" w:hAnsi="Arial Narrow" w:cs="Arial"/>
        </w:rPr>
        <w:t>. § (</w:t>
      </w:r>
      <w:r w:rsidR="00990E8E">
        <w:rPr>
          <w:rFonts w:ascii="Arial Narrow" w:hAnsi="Arial Narrow" w:cs="Arial"/>
        </w:rPr>
        <w:t>7</w:t>
      </w:r>
      <w:r w:rsidR="00707578">
        <w:rPr>
          <w:rFonts w:ascii="Arial Narrow" w:hAnsi="Arial Narrow" w:cs="Arial"/>
        </w:rPr>
        <w:t>) bekezdése</w:t>
      </w:r>
      <w:r w:rsidR="003212F2">
        <w:rPr>
          <w:rFonts w:ascii="Arial Narrow" w:hAnsi="Arial Narrow" w:cs="Arial"/>
        </w:rPr>
        <w:t xml:space="preserve"> helyébe a következő rendelkezés lép</w:t>
      </w:r>
      <w:r w:rsidR="00707578">
        <w:rPr>
          <w:rFonts w:ascii="Arial Narrow" w:hAnsi="Arial Narrow" w:cs="Arial"/>
        </w:rPr>
        <w:t>:</w:t>
      </w:r>
    </w:p>
    <w:bookmarkEnd w:id="1"/>
    <w:p w:rsidR="00707578" w:rsidRDefault="00707578" w:rsidP="00707578">
      <w:pPr>
        <w:tabs>
          <w:tab w:val="center" w:pos="6660"/>
        </w:tabs>
        <w:rPr>
          <w:rFonts w:ascii="Arial Narrow" w:hAnsi="Arial Narrow" w:cs="Arial"/>
        </w:rPr>
      </w:pPr>
    </w:p>
    <w:p w:rsidR="00707578" w:rsidRDefault="00707578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990E8E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>)</w:t>
      </w:r>
      <w:r w:rsidR="00990E8E">
        <w:rPr>
          <w:rFonts w:ascii="Arial Narrow" w:hAnsi="Arial Narrow" w:cs="Arial"/>
        </w:rPr>
        <w:t xml:space="preserve"> A közterületről közvetlenül nyíló kapubejárót, garázskaput faanyagú, fa hatású fóliázott vagy vasrácsos kapu-jelleggel kell kialakítani, a biztonságos beláthatóság feltételeinek biztosításával. Fémlemezes vagy műanyag kapu nem alkalmazható</w:t>
      </w:r>
      <w:r>
        <w:rPr>
          <w:rFonts w:ascii="Arial Narrow" w:hAnsi="Arial Narrow" w:cs="Arial"/>
        </w:rPr>
        <w:t>.”</w:t>
      </w:r>
    </w:p>
    <w:p w:rsidR="00707578" w:rsidRDefault="00707578" w:rsidP="00B22653">
      <w:pPr>
        <w:tabs>
          <w:tab w:val="center" w:pos="6660"/>
        </w:tabs>
        <w:rPr>
          <w:rFonts w:ascii="Arial Narrow" w:hAnsi="Arial Narrow" w:cs="Arial"/>
        </w:rPr>
      </w:pPr>
    </w:p>
    <w:p w:rsidR="003212F2" w:rsidRDefault="00BD3D21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3212F2">
        <w:rPr>
          <w:rFonts w:ascii="Arial Narrow" w:hAnsi="Arial Narrow" w:cs="Arial"/>
        </w:rPr>
        <w:t>. §</w:t>
      </w:r>
    </w:p>
    <w:p w:rsidR="003212F2" w:rsidRDefault="003212F2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707578" w:rsidRDefault="00BD3D21" w:rsidP="00707578">
      <w:pPr>
        <w:tabs>
          <w:tab w:val="center" w:pos="66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3212F2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)</w:t>
      </w:r>
      <w:r w:rsidR="003212F2">
        <w:rPr>
          <w:rFonts w:ascii="Arial Narrow" w:hAnsi="Arial Narrow" w:cs="Arial"/>
        </w:rPr>
        <w:t xml:space="preserve"> </w:t>
      </w:r>
      <w:r w:rsidR="00707578">
        <w:rPr>
          <w:rFonts w:ascii="Arial Narrow" w:hAnsi="Arial Narrow" w:cs="Arial"/>
        </w:rPr>
        <w:t xml:space="preserve">A rendelet </w:t>
      </w:r>
      <w:r w:rsidR="00990E8E">
        <w:rPr>
          <w:rFonts w:ascii="Arial Narrow" w:hAnsi="Arial Narrow" w:cs="Arial"/>
        </w:rPr>
        <w:t>14</w:t>
      </w:r>
      <w:r w:rsidR="00707578">
        <w:rPr>
          <w:rFonts w:ascii="Arial Narrow" w:hAnsi="Arial Narrow" w:cs="Arial"/>
        </w:rPr>
        <w:t>. § (</w:t>
      </w:r>
      <w:r w:rsidR="00990E8E">
        <w:rPr>
          <w:rFonts w:ascii="Arial Narrow" w:hAnsi="Arial Narrow" w:cs="Arial"/>
        </w:rPr>
        <w:t>6</w:t>
      </w:r>
      <w:r w:rsidR="00707578">
        <w:rPr>
          <w:rFonts w:ascii="Arial Narrow" w:hAnsi="Arial Narrow" w:cs="Arial"/>
        </w:rPr>
        <w:t>)</w:t>
      </w:r>
      <w:r w:rsidR="003212F2">
        <w:rPr>
          <w:rFonts w:ascii="Arial Narrow" w:hAnsi="Arial Narrow" w:cs="Arial"/>
        </w:rPr>
        <w:t xml:space="preserve"> </w:t>
      </w:r>
      <w:r w:rsidR="00707578">
        <w:rPr>
          <w:rFonts w:ascii="Arial Narrow" w:hAnsi="Arial Narrow" w:cs="Arial"/>
        </w:rPr>
        <w:t>bekezdése</w:t>
      </w:r>
      <w:r w:rsidR="003212F2">
        <w:rPr>
          <w:rFonts w:ascii="Arial Narrow" w:hAnsi="Arial Narrow" w:cs="Arial"/>
        </w:rPr>
        <w:t xml:space="preserve"> helyébe a következő rendelkezés lép</w:t>
      </w:r>
      <w:r w:rsidR="00707578">
        <w:rPr>
          <w:rFonts w:ascii="Arial Narrow" w:hAnsi="Arial Narrow" w:cs="Arial"/>
        </w:rPr>
        <w:t>:</w:t>
      </w:r>
    </w:p>
    <w:p w:rsidR="00707578" w:rsidRDefault="00707578" w:rsidP="00B22653">
      <w:pPr>
        <w:tabs>
          <w:tab w:val="center" w:pos="6660"/>
        </w:tabs>
        <w:rPr>
          <w:rFonts w:ascii="Arial Narrow" w:hAnsi="Arial Narrow" w:cs="Arial"/>
        </w:rPr>
      </w:pPr>
    </w:p>
    <w:p w:rsidR="00694947" w:rsidRDefault="00707578" w:rsidP="00990E8E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990E8E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)</w:t>
      </w:r>
      <w:r w:rsidR="00990E8E">
        <w:rPr>
          <w:rFonts w:ascii="Arial Narrow" w:hAnsi="Arial Narrow" w:cs="Arial"/>
        </w:rPr>
        <w:t xml:space="preserve"> A közterületről közvetlenül nyíló kapubejárót, garázskaput faanyagú, fa hatású fóliázott vagy vasrácsos kapu-jelleggel kell kialakítani, a biztonságos beláthatóság feltételeinek biztosításával. Fémlemezes vagy műanyag kapu nem alkalmazható.</w:t>
      </w:r>
      <w:r w:rsidR="00C904AA">
        <w:rPr>
          <w:rFonts w:ascii="Arial Narrow" w:hAnsi="Arial Narrow" w:cs="Arial"/>
        </w:rPr>
        <w:t>”</w:t>
      </w:r>
    </w:p>
    <w:p w:rsidR="00694947" w:rsidRDefault="00694947" w:rsidP="00CC426C">
      <w:pPr>
        <w:tabs>
          <w:tab w:val="center" w:pos="6660"/>
        </w:tabs>
        <w:rPr>
          <w:rFonts w:ascii="Arial Narrow" w:hAnsi="Arial Narrow" w:cs="Arial"/>
        </w:rPr>
      </w:pPr>
    </w:p>
    <w:p w:rsidR="003212F2" w:rsidRDefault="00BD3D21" w:rsidP="00CC426C">
      <w:pPr>
        <w:tabs>
          <w:tab w:val="center" w:pos="66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3212F2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="003212F2">
        <w:rPr>
          <w:rFonts w:ascii="Arial Narrow" w:hAnsi="Arial Narrow" w:cs="Arial"/>
        </w:rPr>
        <w:t xml:space="preserve"> A rendelet </w:t>
      </w:r>
      <w:r w:rsidR="00990E8E">
        <w:rPr>
          <w:rFonts w:ascii="Arial Narrow" w:hAnsi="Arial Narrow" w:cs="Arial"/>
        </w:rPr>
        <w:t>14</w:t>
      </w:r>
      <w:r w:rsidR="003212F2">
        <w:rPr>
          <w:rFonts w:ascii="Arial Narrow" w:hAnsi="Arial Narrow" w:cs="Arial"/>
        </w:rPr>
        <w:t>. § (</w:t>
      </w:r>
      <w:r w:rsidR="00990E8E">
        <w:rPr>
          <w:rFonts w:ascii="Arial Narrow" w:hAnsi="Arial Narrow" w:cs="Arial"/>
        </w:rPr>
        <w:t>7</w:t>
      </w:r>
      <w:r w:rsidR="003212F2">
        <w:rPr>
          <w:rFonts w:ascii="Arial Narrow" w:hAnsi="Arial Narrow" w:cs="Arial"/>
        </w:rPr>
        <w:t>) bekezdése helyébe a következő rendelkezés lép:</w:t>
      </w:r>
    </w:p>
    <w:p w:rsidR="003212F2" w:rsidRDefault="003212F2" w:rsidP="00CC426C">
      <w:pPr>
        <w:tabs>
          <w:tab w:val="center" w:pos="6660"/>
        </w:tabs>
        <w:rPr>
          <w:rFonts w:ascii="Arial Narrow" w:hAnsi="Arial Narrow" w:cs="Arial"/>
        </w:rPr>
      </w:pPr>
    </w:p>
    <w:p w:rsidR="00694947" w:rsidRDefault="003212F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="00694947">
        <w:rPr>
          <w:rFonts w:ascii="Arial Narrow" w:hAnsi="Arial Narrow" w:cs="Arial"/>
        </w:rPr>
        <w:t>(</w:t>
      </w:r>
      <w:r w:rsidR="00990E8E">
        <w:rPr>
          <w:rFonts w:ascii="Arial Narrow" w:hAnsi="Arial Narrow" w:cs="Arial"/>
        </w:rPr>
        <w:t>7</w:t>
      </w:r>
      <w:r w:rsidR="00694947">
        <w:rPr>
          <w:rFonts w:ascii="Arial Narrow" w:hAnsi="Arial Narrow" w:cs="Arial"/>
        </w:rPr>
        <w:t>) A</w:t>
      </w:r>
      <w:r w:rsidR="00990E8E">
        <w:rPr>
          <w:rFonts w:ascii="Arial Narrow" w:hAnsi="Arial Narrow" w:cs="Arial"/>
        </w:rPr>
        <w:t>z utcai kerítést, az épület építészeti karakteréhez, anyaghasználatához, megjelenéséhez, utcaképi sajátosságaihoz illeszkedően kell kialakítani</w:t>
      </w:r>
      <w:r w:rsidR="0069494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”</w:t>
      </w:r>
    </w:p>
    <w:p w:rsidR="003212F2" w:rsidRDefault="003212F2" w:rsidP="00694947">
      <w:pPr>
        <w:tabs>
          <w:tab w:val="center" w:pos="6660"/>
        </w:tabs>
        <w:rPr>
          <w:rFonts w:ascii="Arial Narrow" w:hAnsi="Arial Narrow" w:cs="Arial"/>
        </w:rPr>
      </w:pPr>
    </w:p>
    <w:p w:rsidR="003212F2" w:rsidRDefault="00BD3D21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3212F2">
        <w:rPr>
          <w:rFonts w:ascii="Arial Narrow" w:hAnsi="Arial Narrow" w:cs="Arial"/>
        </w:rPr>
        <w:t>. §</w:t>
      </w:r>
    </w:p>
    <w:p w:rsidR="003212F2" w:rsidRDefault="003212F2" w:rsidP="003212F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694947" w:rsidRDefault="00BD3D21" w:rsidP="00694947">
      <w:pPr>
        <w:tabs>
          <w:tab w:val="center" w:pos="66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6C42D6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)</w:t>
      </w:r>
      <w:r w:rsidR="006C42D6">
        <w:rPr>
          <w:rFonts w:ascii="Arial Narrow" w:hAnsi="Arial Narrow" w:cs="Arial"/>
        </w:rPr>
        <w:t xml:space="preserve"> </w:t>
      </w:r>
      <w:bookmarkStart w:id="2" w:name="_Hlk85099221"/>
      <w:r w:rsidR="00694947">
        <w:rPr>
          <w:rFonts w:ascii="Arial Narrow" w:hAnsi="Arial Narrow" w:cs="Arial"/>
        </w:rPr>
        <w:t xml:space="preserve">A rendelet </w:t>
      </w:r>
      <w:r w:rsidR="00990E8E">
        <w:rPr>
          <w:rFonts w:ascii="Arial Narrow" w:hAnsi="Arial Narrow" w:cs="Arial"/>
        </w:rPr>
        <w:t>18</w:t>
      </w:r>
      <w:r w:rsidR="00694947">
        <w:rPr>
          <w:rFonts w:ascii="Arial Narrow" w:hAnsi="Arial Narrow" w:cs="Arial"/>
        </w:rPr>
        <w:t>. § (</w:t>
      </w:r>
      <w:r w:rsidR="00990E8E">
        <w:rPr>
          <w:rFonts w:ascii="Arial Narrow" w:hAnsi="Arial Narrow" w:cs="Arial"/>
        </w:rPr>
        <w:t>2</w:t>
      </w:r>
      <w:r w:rsidR="00694947">
        <w:rPr>
          <w:rFonts w:ascii="Arial Narrow" w:hAnsi="Arial Narrow" w:cs="Arial"/>
        </w:rPr>
        <w:t>)</w:t>
      </w:r>
      <w:r w:rsidR="006C42D6">
        <w:rPr>
          <w:rFonts w:ascii="Arial Narrow" w:hAnsi="Arial Narrow" w:cs="Arial"/>
        </w:rPr>
        <w:t xml:space="preserve"> </w:t>
      </w:r>
      <w:r w:rsidR="00694947">
        <w:rPr>
          <w:rFonts w:ascii="Arial Narrow" w:hAnsi="Arial Narrow" w:cs="Arial"/>
        </w:rPr>
        <w:t>bekezdése</w:t>
      </w:r>
      <w:r w:rsidR="006C42D6">
        <w:rPr>
          <w:rFonts w:ascii="Arial Narrow" w:hAnsi="Arial Narrow" w:cs="Arial"/>
        </w:rPr>
        <w:t xml:space="preserve"> helyébe a következő rendelkezés lép</w:t>
      </w:r>
      <w:r w:rsidR="00694947">
        <w:rPr>
          <w:rFonts w:ascii="Arial Narrow" w:hAnsi="Arial Narrow" w:cs="Arial"/>
        </w:rPr>
        <w:t>:</w:t>
      </w:r>
    </w:p>
    <w:bookmarkEnd w:id="2"/>
    <w:p w:rsidR="00694947" w:rsidRDefault="00694947" w:rsidP="00694947">
      <w:pPr>
        <w:tabs>
          <w:tab w:val="center" w:pos="6660"/>
        </w:tabs>
        <w:rPr>
          <w:rFonts w:ascii="Arial Narrow" w:hAnsi="Arial Narrow" w:cs="Arial"/>
        </w:rPr>
      </w:pPr>
    </w:p>
    <w:p w:rsidR="006C42D6" w:rsidRDefault="00694947" w:rsidP="00990E8E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990E8E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) A </w:t>
      </w:r>
      <w:r w:rsidR="00990E8E">
        <w:rPr>
          <w:rFonts w:ascii="Arial Narrow" w:hAnsi="Arial Narrow" w:cs="Arial"/>
        </w:rPr>
        <w:t>szőlőhegyi karakter egyedi építészeti követelményei új építés és épület-felújítás esetén:</w:t>
      </w:r>
    </w:p>
    <w:p w:rsidR="00990E8E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 w:rsidRPr="007374B0">
        <w:rPr>
          <w:rFonts w:ascii="Arial Narrow" w:hAnsi="Arial Narrow" w:cs="Arial"/>
        </w:rPr>
        <w:t>a)</w:t>
      </w:r>
      <w:r>
        <w:rPr>
          <w:rFonts w:ascii="Arial Narrow" w:hAnsi="Arial Narrow" w:cs="Arial"/>
        </w:rPr>
        <w:t xml:space="preserve"> az épület terepcsatlakozása illeszkedjék a terepadottságokhoz,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az épület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ba) lakó- és pince-présház esetén egyszintes, vagy pince felett egy felső szint lehet,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amelynek padlószintje a csatlakozó terep legalacsonyabb pontjától legfeljebb 240 cm-rel 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lehet magasabban,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bb) egyéb épület esetén legfeljebb kétszintes lehet,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a falfelületek felületképzése sima felületű vakolattal, fehér meszeléssel vagy </w:t>
      </w:r>
      <w:proofErr w:type="gramStart"/>
      <w:r>
        <w:rPr>
          <w:rFonts w:ascii="Arial Narrow" w:hAnsi="Arial Narrow" w:cs="Arial"/>
        </w:rPr>
        <w:t>festéssel</w:t>
      </w:r>
      <w:proofErr w:type="gramEnd"/>
      <w:r>
        <w:rPr>
          <w:rFonts w:ascii="Arial Narrow" w:hAnsi="Arial Narrow" w:cs="Arial"/>
        </w:rPr>
        <w:t xml:space="preserve"> valamint legfeljebb 20 % arányban bazalt, bazalttufa kőburkolással, nyers bontott tégla burkolással történhet,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d) új építés és épület-felújítás esetén a domináns tetőidom rétegvonalra merőleges vagy a lejtésiránytól legfeljebb 30 fokban elérő tetőgerincű nyeregtető lehet, meredeksége: 40-45 </w:t>
      </w:r>
      <w:proofErr w:type="gramStart"/>
      <w:r>
        <w:rPr>
          <w:rFonts w:ascii="Arial Narrow" w:hAnsi="Arial Narrow" w:cs="Arial"/>
        </w:rPr>
        <w:t>fok,  tetőhéjazatként</w:t>
      </w:r>
      <w:proofErr w:type="gramEnd"/>
      <w:r>
        <w:rPr>
          <w:rFonts w:ascii="Arial Narrow" w:hAnsi="Arial Narrow" w:cs="Arial"/>
        </w:rPr>
        <w:t xml:space="preserve"> elsődlegesen vörös, indokolt esetben barna és antracit színű cserépfedés, zsúp- illetve nádfedés alkalmazható,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e) az ablakok fából készülhetnek, legfeljebb 100 cm szélességgel és 150 cm magassággal, melyekhez spaletta alkalmazható, redőny nem,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f) a homlokzatmagasság – bármely homlokzaton mérve – nem lehet nagyobb, mint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fa) lakó- és pince-présház esetén: 350 cm,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fb) egyéb épület esetén: 550 cm,</w:t>
      </w:r>
    </w:p>
    <w:p w:rsidR="007374B0" w:rsidRDefault="007374B0" w:rsidP="007374B0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g) a földszinti padlóvonal az eredeti átlagos terepszintnél nem lehet 100 cm-nél magasabban.</w:t>
      </w:r>
      <w:r w:rsidR="00F71E1F">
        <w:rPr>
          <w:rFonts w:ascii="Arial Narrow" w:hAnsi="Arial Narrow" w:cs="Arial"/>
        </w:rPr>
        <w:t>”</w:t>
      </w:r>
    </w:p>
    <w:p w:rsidR="006C42D6" w:rsidRDefault="006C42D6" w:rsidP="00694947">
      <w:pPr>
        <w:tabs>
          <w:tab w:val="center" w:pos="6660"/>
        </w:tabs>
        <w:rPr>
          <w:rFonts w:ascii="Arial Narrow" w:hAnsi="Arial Narrow" w:cs="Arial"/>
        </w:rPr>
      </w:pPr>
    </w:p>
    <w:p w:rsidR="00027138" w:rsidRDefault="00BD3D21" w:rsidP="00027138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027138">
        <w:rPr>
          <w:rFonts w:ascii="Arial Narrow" w:hAnsi="Arial Narrow" w:cs="Arial"/>
        </w:rPr>
        <w:t>. §</w:t>
      </w:r>
    </w:p>
    <w:p w:rsidR="00027138" w:rsidRDefault="00027138" w:rsidP="00027138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27138" w:rsidRDefault="00BD3D21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2713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)</w:t>
      </w:r>
      <w:r w:rsidR="00027138">
        <w:rPr>
          <w:rFonts w:ascii="Arial Narrow" w:hAnsi="Arial Narrow" w:cs="Arial"/>
        </w:rPr>
        <w:t xml:space="preserve"> A rendelet </w:t>
      </w:r>
      <w:r w:rsidR="00F71E1F">
        <w:rPr>
          <w:rFonts w:ascii="Arial Narrow" w:hAnsi="Arial Narrow" w:cs="Arial"/>
        </w:rPr>
        <w:t>19</w:t>
      </w:r>
      <w:r w:rsidR="00027138">
        <w:rPr>
          <w:rFonts w:ascii="Arial Narrow" w:hAnsi="Arial Narrow" w:cs="Arial"/>
        </w:rPr>
        <w:t>. § (</w:t>
      </w:r>
      <w:r w:rsidR="00F71E1F">
        <w:rPr>
          <w:rFonts w:ascii="Arial Narrow" w:hAnsi="Arial Narrow" w:cs="Arial"/>
        </w:rPr>
        <w:t>4</w:t>
      </w:r>
      <w:r w:rsidR="00027138">
        <w:rPr>
          <w:rFonts w:ascii="Arial Narrow" w:hAnsi="Arial Narrow" w:cs="Arial"/>
        </w:rPr>
        <w:t>) bekezdése helyébe a következő rendelkezés lép:</w:t>
      </w:r>
    </w:p>
    <w:p w:rsidR="00027138" w:rsidRDefault="00027138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F71E1F" w:rsidRDefault="00027138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F71E1F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)</w:t>
      </w:r>
      <w:r w:rsidR="00F71E1F">
        <w:rPr>
          <w:rFonts w:ascii="Arial Narrow" w:hAnsi="Arial Narrow" w:cs="Arial"/>
        </w:rPr>
        <w:t xml:space="preserve"> Az épület közterület felőli homlokzatát megváltoztató, zavaró létesítményt, gépészeti berendezéseket, szellőző- és klímaberendezést, szerelt égéstermék elvezetőt, közműcsatlakozási berendezést, antennát</w:t>
      </w:r>
    </w:p>
    <w:p w:rsidR="00F71E1F" w:rsidRDefault="00F71E1F" w:rsidP="00F71E1F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a) helyi területi védelmen belül az utcafronti homlokzatra nem, illetve csak a közterületről nem látható módon</w:t>
      </w:r>
    </w:p>
    <w:p w:rsidR="00F71E1F" w:rsidRDefault="00F71E1F" w:rsidP="00F71E1F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egyéb területeken a közterületről látható felületeken településképi konzultáció keretében előzetesen egyeztetett módon</w:t>
      </w:r>
    </w:p>
    <w:p w:rsidR="00F71E1F" w:rsidRDefault="00F71E1F" w:rsidP="00F71E1F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c) társasház homlokzatán a homlokzati elemek rendjéhez igazodóan</w:t>
      </w:r>
    </w:p>
    <w:p w:rsidR="00F71E1F" w:rsidRDefault="00F71E1F" w:rsidP="00F71E1F">
      <w:pPr>
        <w:tabs>
          <w:tab w:val="center" w:pos="6660"/>
        </w:tabs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lehet elhelyezni.”</w:t>
      </w:r>
    </w:p>
    <w:p w:rsidR="00F71E1F" w:rsidRDefault="00F71E1F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27138" w:rsidRDefault="00BD3D21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27138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="00027138">
        <w:rPr>
          <w:rFonts w:ascii="Arial Narrow" w:hAnsi="Arial Narrow" w:cs="Arial"/>
        </w:rPr>
        <w:t xml:space="preserve"> A rendelet </w:t>
      </w:r>
      <w:r w:rsidR="00F71E1F">
        <w:rPr>
          <w:rFonts w:ascii="Arial Narrow" w:hAnsi="Arial Narrow" w:cs="Arial"/>
        </w:rPr>
        <w:t>19</w:t>
      </w:r>
      <w:r w:rsidR="00027138">
        <w:rPr>
          <w:rFonts w:ascii="Arial Narrow" w:hAnsi="Arial Narrow" w:cs="Arial"/>
        </w:rPr>
        <w:t>. § (</w:t>
      </w:r>
      <w:r w:rsidR="00F71E1F">
        <w:rPr>
          <w:rFonts w:ascii="Arial Narrow" w:hAnsi="Arial Narrow" w:cs="Arial"/>
        </w:rPr>
        <w:t>6</w:t>
      </w:r>
      <w:r w:rsidR="00027138">
        <w:rPr>
          <w:rFonts w:ascii="Arial Narrow" w:hAnsi="Arial Narrow" w:cs="Arial"/>
        </w:rPr>
        <w:t>) bekezdése helyébe a következő rendelkezés lép:</w:t>
      </w:r>
    </w:p>
    <w:p w:rsidR="00027138" w:rsidRDefault="00027138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27138" w:rsidRDefault="00027138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F71E1F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)</w:t>
      </w:r>
      <w:r w:rsidR="00F71E1F">
        <w:rPr>
          <w:rFonts w:ascii="Arial Narrow" w:hAnsi="Arial Narrow" w:cs="Arial"/>
        </w:rPr>
        <w:t xml:space="preserve"> Napkollektor, napelem egységei utcáról látható tetősíkon csak tömbösített, téglalap alakú mezőben, egyben vagy azonos méretű csoportokban, egyenlő elosztásban helyezhetők el</w:t>
      </w:r>
      <w:r>
        <w:rPr>
          <w:rFonts w:ascii="Arial Narrow" w:hAnsi="Arial Narrow" w:cs="Arial"/>
        </w:rPr>
        <w:t>.”</w:t>
      </w:r>
    </w:p>
    <w:p w:rsidR="00694947" w:rsidRDefault="00694947" w:rsidP="00CC426C">
      <w:pPr>
        <w:tabs>
          <w:tab w:val="center" w:pos="6660"/>
        </w:tabs>
        <w:rPr>
          <w:rFonts w:ascii="Arial Narrow" w:hAnsi="Arial Narrow" w:cs="Arial"/>
        </w:rPr>
      </w:pPr>
    </w:p>
    <w:p w:rsidR="00027138" w:rsidRDefault="00BD3D21" w:rsidP="00027138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027138">
        <w:rPr>
          <w:rFonts w:ascii="Arial Narrow" w:hAnsi="Arial Narrow" w:cs="Arial"/>
        </w:rPr>
        <w:t>. §</w:t>
      </w:r>
    </w:p>
    <w:p w:rsidR="00027138" w:rsidRDefault="00027138" w:rsidP="00027138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27138" w:rsidRDefault="00BD3D21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2713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)</w:t>
      </w:r>
      <w:r w:rsidR="00027138">
        <w:rPr>
          <w:rFonts w:ascii="Arial Narrow" w:hAnsi="Arial Narrow" w:cs="Arial"/>
        </w:rPr>
        <w:t xml:space="preserve"> A rendelet </w:t>
      </w:r>
      <w:r w:rsidR="00F71E1F">
        <w:rPr>
          <w:rFonts w:ascii="Arial Narrow" w:hAnsi="Arial Narrow" w:cs="Arial"/>
        </w:rPr>
        <w:t>21</w:t>
      </w:r>
      <w:r w:rsidR="00027138">
        <w:rPr>
          <w:rFonts w:ascii="Arial Narrow" w:hAnsi="Arial Narrow" w:cs="Arial"/>
        </w:rPr>
        <w:t>. § (</w:t>
      </w:r>
      <w:r w:rsidR="00F71E1F">
        <w:rPr>
          <w:rFonts w:ascii="Arial Narrow" w:hAnsi="Arial Narrow" w:cs="Arial"/>
        </w:rPr>
        <w:t>2</w:t>
      </w:r>
      <w:r w:rsidR="00027138">
        <w:rPr>
          <w:rFonts w:ascii="Arial Narrow" w:hAnsi="Arial Narrow" w:cs="Arial"/>
        </w:rPr>
        <w:t>) bekezdése helyébe a következő rendelkezés lép:</w:t>
      </w:r>
    </w:p>
    <w:p w:rsidR="00DD7042" w:rsidRDefault="00DD7042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DD7042" w:rsidRDefault="00DD7042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F71E1F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="00F71E1F">
        <w:rPr>
          <w:rFonts w:ascii="Arial Narrow" w:hAnsi="Arial Narrow" w:cs="Arial"/>
        </w:rPr>
        <w:t xml:space="preserve"> Reklám, hirdetés közvetlenül nem helyezhető el épülethomlokzatra, közterület felőli kerítésre, közterületi építményre, berendezésre, közvilágítási és vezetéktartó oszlopra, közte</w:t>
      </w:r>
      <w:r w:rsidR="000629BC">
        <w:rPr>
          <w:rFonts w:ascii="Arial Narrow" w:hAnsi="Arial Narrow" w:cs="Arial"/>
        </w:rPr>
        <w:t>rületi bútorra, a 20. §-ban szereplő feltételek betartásával létesült reklámhordozó kivételével.</w:t>
      </w:r>
      <w:r w:rsidR="00C904AA">
        <w:rPr>
          <w:rFonts w:ascii="Arial Narrow" w:hAnsi="Arial Narrow" w:cs="Arial"/>
        </w:rPr>
        <w:t>”</w:t>
      </w:r>
    </w:p>
    <w:p w:rsidR="00DD7042" w:rsidRDefault="00DD704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DD7042" w:rsidRDefault="00BD3D21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DD7042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)</w:t>
      </w:r>
      <w:r w:rsidR="00DD7042">
        <w:rPr>
          <w:rFonts w:ascii="Arial Narrow" w:hAnsi="Arial Narrow" w:cs="Arial"/>
        </w:rPr>
        <w:t xml:space="preserve"> A rendelet </w:t>
      </w:r>
      <w:r w:rsidR="000629BC">
        <w:rPr>
          <w:rFonts w:ascii="Arial Narrow" w:hAnsi="Arial Narrow" w:cs="Arial"/>
        </w:rPr>
        <w:t>2</w:t>
      </w:r>
      <w:r w:rsidR="00DD7042">
        <w:rPr>
          <w:rFonts w:ascii="Arial Narrow" w:hAnsi="Arial Narrow" w:cs="Arial"/>
        </w:rPr>
        <w:t>1. § (4) bekezdése helyébe a következő rendelkezés lép:</w:t>
      </w:r>
    </w:p>
    <w:p w:rsidR="00DD7042" w:rsidRDefault="00DD704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DD7042" w:rsidRDefault="00DD704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„(4)</w:t>
      </w:r>
      <w:r w:rsidR="000629BC">
        <w:rPr>
          <w:rFonts w:ascii="Arial Narrow" w:hAnsi="Arial Narrow" w:cs="Arial"/>
        </w:rPr>
        <w:t xml:space="preserve"> Az ingatlan eladását, bérbeadását meghirdető tábla maximum 1,5 m²-es nagyságban az ingatlan ablakában helyezhető el.</w:t>
      </w:r>
      <w:r>
        <w:rPr>
          <w:rFonts w:ascii="Arial Narrow" w:hAnsi="Arial Narrow" w:cs="Arial"/>
        </w:rPr>
        <w:t>”</w:t>
      </w:r>
    </w:p>
    <w:p w:rsidR="008F511A" w:rsidRDefault="008F511A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8F511A" w:rsidRDefault="008F511A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(3) A rendelet </w:t>
      </w:r>
      <w:r w:rsidR="000629BC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1. § (5) bekezdése helyébe a következő rendelkezés lép:</w:t>
      </w:r>
    </w:p>
    <w:p w:rsidR="008F511A" w:rsidRDefault="008F511A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8F511A" w:rsidRDefault="008F511A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„(5)</w:t>
      </w:r>
      <w:r w:rsidR="000629BC">
        <w:rPr>
          <w:rFonts w:ascii="Arial Narrow" w:hAnsi="Arial Narrow" w:cs="Arial"/>
        </w:rPr>
        <w:t xml:space="preserve"> A közterület fölé kinyúló, a közterületi határvonalra merőlegesen elhelyezett hirdető-berendezések, cégérek legfeljebb 0,5 m² reklámfelülettel helyezhetők el</w:t>
      </w:r>
      <w:r>
        <w:rPr>
          <w:rFonts w:ascii="Arial Narrow" w:hAnsi="Arial Narrow" w:cs="Arial"/>
        </w:rPr>
        <w:t>.</w:t>
      </w:r>
      <w:r w:rsidR="000629BC">
        <w:rPr>
          <w:rFonts w:ascii="Arial Narrow" w:hAnsi="Arial Narrow" w:cs="Arial"/>
        </w:rPr>
        <w:t>”</w:t>
      </w:r>
    </w:p>
    <w:p w:rsidR="00DD7042" w:rsidRDefault="00DD704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D92988" w:rsidRPr="00F96FBC" w:rsidRDefault="00D92988" w:rsidP="000629BC">
      <w:pPr>
        <w:tabs>
          <w:tab w:val="center" w:pos="6660"/>
        </w:tabs>
        <w:jc w:val="both"/>
        <w:rPr>
          <w:rFonts w:ascii="Arial Narrow" w:hAnsi="Arial Narrow" w:cs="Open Sans"/>
          <w:color w:val="000000"/>
        </w:rPr>
      </w:pPr>
    </w:p>
    <w:p w:rsidR="00F96FBC" w:rsidRDefault="00F96FBC" w:rsidP="00027138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629BC" w:rsidRDefault="000629BC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6. §</w:t>
      </w:r>
    </w:p>
    <w:p w:rsidR="000629BC" w:rsidRDefault="000629BC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(1) A rendelet </w:t>
      </w:r>
      <w:r w:rsidR="005B3539">
        <w:rPr>
          <w:rFonts w:ascii="Arial Narrow" w:hAnsi="Arial Narrow" w:cs="Arial"/>
        </w:rPr>
        <w:t>24</w:t>
      </w:r>
      <w:r>
        <w:rPr>
          <w:rFonts w:ascii="Arial Narrow" w:hAnsi="Arial Narrow" w:cs="Arial"/>
        </w:rPr>
        <w:t>. § (</w:t>
      </w:r>
      <w:r w:rsidR="005B353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) bekezdése helyébe a következő rendelkezés lép:</w:t>
      </w: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629BC" w:rsidRDefault="000629BC" w:rsidP="00B23D9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„(</w:t>
      </w:r>
      <w:r w:rsidR="005B3539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)</w:t>
      </w:r>
      <w:r w:rsidR="005B3539">
        <w:rPr>
          <w:rFonts w:ascii="Arial Narrow" w:hAnsi="Arial Narrow" w:cs="Arial"/>
        </w:rPr>
        <w:t xml:space="preserve"> Cégzászló épület falára csak zászlótartó berendezéssel helyezhető el, rendeltetési egységenként maximum 2 db, egyenként maximum 1 m² felülettel. Zászló előkertben ingatlanonként legfeljebb 3 db helyezhető el</w:t>
      </w:r>
      <w:r>
        <w:rPr>
          <w:rFonts w:ascii="Arial Narrow" w:hAnsi="Arial Narrow" w:cs="Arial"/>
        </w:rPr>
        <w:t>.”</w:t>
      </w:r>
    </w:p>
    <w:p w:rsidR="000629BC" w:rsidRDefault="000629BC" w:rsidP="00DD704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629BC" w:rsidRDefault="00B23D98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0629BC">
        <w:rPr>
          <w:rFonts w:ascii="Arial Narrow" w:hAnsi="Arial Narrow" w:cs="Arial"/>
        </w:rPr>
        <w:t>. §</w:t>
      </w:r>
    </w:p>
    <w:p w:rsidR="000629BC" w:rsidRDefault="000629BC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(1) A rendelet 2</w:t>
      </w:r>
      <w:r w:rsidR="00B23D98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. § (2) bekezdése a következő </w:t>
      </w:r>
      <w:r w:rsidR="00B23D98">
        <w:rPr>
          <w:rFonts w:ascii="Arial Narrow" w:hAnsi="Arial Narrow" w:cs="Arial"/>
        </w:rPr>
        <w:t>d) ponttal egészül ki</w:t>
      </w:r>
      <w:r>
        <w:rPr>
          <w:rFonts w:ascii="Arial Narrow" w:hAnsi="Arial Narrow" w:cs="Arial"/>
        </w:rPr>
        <w:t>:</w:t>
      </w: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="00B23D98">
        <w:rPr>
          <w:rFonts w:ascii="Arial Narrow" w:hAnsi="Arial Narrow" w:cs="Arial"/>
        </w:rPr>
        <w:t>d</w:t>
      </w:r>
      <w:r>
        <w:rPr>
          <w:rFonts w:ascii="Arial Narrow" w:hAnsi="Arial Narrow" w:cs="Arial"/>
        </w:rPr>
        <w:t>)</w:t>
      </w:r>
      <w:r w:rsidR="00B23D98">
        <w:rPr>
          <w:rFonts w:ascii="Arial Narrow" w:hAnsi="Arial Narrow" w:cs="Arial"/>
        </w:rPr>
        <w:t xml:space="preserve"> az épület közterület felőli homlokzatát megváltoztató, zavaró létesítmény, gépészeti berendezés, szellőző- és klímaberendezés, szerelt égéstermék-elvezető, közműcsatlakozási berendezés, antenna elhelyezése esetén, amennyiben az egyéb területen valósul meg, és közterületről látható felületet érint.</w:t>
      </w:r>
      <w:r>
        <w:rPr>
          <w:rFonts w:ascii="Arial Narrow" w:hAnsi="Arial Narrow" w:cs="Arial"/>
        </w:rPr>
        <w:t>”</w:t>
      </w:r>
    </w:p>
    <w:p w:rsidR="000629BC" w:rsidRDefault="000629BC" w:rsidP="00DD704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629BC" w:rsidRDefault="00B23D98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0629BC">
        <w:rPr>
          <w:rFonts w:ascii="Arial Narrow" w:hAnsi="Arial Narrow" w:cs="Arial"/>
        </w:rPr>
        <w:t>. §</w:t>
      </w:r>
    </w:p>
    <w:p w:rsidR="000629BC" w:rsidRDefault="000629BC" w:rsidP="000629BC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(1) A rendelet 2</w:t>
      </w:r>
      <w:r w:rsidR="00B23D98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. § </w:t>
      </w:r>
      <w:r w:rsidR="00B23D98">
        <w:rPr>
          <w:rFonts w:ascii="Arial Narrow" w:hAnsi="Arial Narrow" w:cs="Arial"/>
        </w:rPr>
        <w:t xml:space="preserve">-a </w:t>
      </w:r>
      <w:r>
        <w:rPr>
          <w:rFonts w:ascii="Arial Narrow" w:hAnsi="Arial Narrow" w:cs="Arial"/>
        </w:rPr>
        <w:t>helyébe a következő rendelkezés lép:</w:t>
      </w:r>
    </w:p>
    <w:p w:rsidR="000629BC" w:rsidRDefault="000629BC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B23D98" w:rsidRDefault="000629BC" w:rsidP="00B23D98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„</w:t>
      </w:r>
      <w:r w:rsidR="00B23D98">
        <w:rPr>
          <w:rFonts w:ascii="Arial Narrow" w:hAnsi="Arial Narrow" w:cs="Arial"/>
        </w:rPr>
        <w:t>A főépítészi álláspontra alapozott településképi véleményben vizsgálni kell a településképi követelményeknek való megfelelésen túl az alábbi illeszkedési szempontokat egyenként és összességében mérlegelve:</w:t>
      </w:r>
    </w:p>
    <w:p w:rsidR="00B23D98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 w:rsidRPr="00BC221D">
        <w:rPr>
          <w:rFonts w:ascii="Arial Narrow" w:hAnsi="Arial Narrow" w:cs="Arial"/>
        </w:rPr>
        <w:t>a)</w:t>
      </w:r>
      <w:r>
        <w:rPr>
          <w:rFonts w:ascii="Arial Narrow" w:hAnsi="Arial Narrow" w:cs="Arial"/>
        </w:rPr>
        <w:t xml:space="preserve"> alkalmazkodás a beépítési és rendeltetés módjában, mértékében,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a közterületek használhatóságának megőrzése a beépítés okozta gépjármű terhelés eredményeként,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c) a bejárati előlépcsőnek, az akadálymentesítést szolgáló építménynek, rámpának, a közterület fölé benyúló építményrésznek a kapcsolódó közterület használati módjához való illeszkedése, valamint a meglévő és a telepítendő fákra, fasorokra, közüzemi vezetékekre és berendezésekre gyakorolt hatása,</w:t>
      </w:r>
    </w:p>
    <w:p w:rsidR="000629BC" w:rsidRDefault="00BC221D" w:rsidP="000629BC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d) a telek előtti közterületi járda, vízelvezető árok, zöldsáv kialakítása, szakmai álláspont meghatározása</w:t>
      </w:r>
      <w:r w:rsidR="000629BC">
        <w:rPr>
          <w:rFonts w:ascii="Arial Narrow" w:hAnsi="Arial Narrow" w:cs="Arial"/>
        </w:rPr>
        <w:t>.”</w:t>
      </w:r>
    </w:p>
    <w:p w:rsidR="00BC221D" w:rsidRDefault="00BC221D" w:rsidP="00BC221D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9. §</w:t>
      </w:r>
    </w:p>
    <w:p w:rsidR="00BC221D" w:rsidRDefault="00BC221D" w:rsidP="00BC221D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(1) A rendelet 29. § (1) bekezdése helyébe a következő rendelkezés lép: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„(1) A képviselő-testület településképi bejelentési eljárást folytat le reklám, reklámhordozó, reklámhordozót tartó berendezés, </w:t>
      </w:r>
      <w:proofErr w:type="gramStart"/>
      <w:r>
        <w:rPr>
          <w:rFonts w:ascii="Arial Narrow" w:hAnsi="Arial Narrow" w:cs="Arial"/>
        </w:rPr>
        <w:t>cégér</w:t>
      </w:r>
      <w:proofErr w:type="gramEnd"/>
      <w:r>
        <w:rPr>
          <w:rFonts w:ascii="Arial Narrow" w:hAnsi="Arial Narrow" w:cs="Arial"/>
        </w:rPr>
        <w:t xml:space="preserve"> valamint műszaki berendezés elhelyezése tekintetében: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a) építésügyi hatósági engedélyezési eljáráshoz nem kötött reklámok, reklámhordozó berendezések, reklámhordozót tartó berendezések elhelyezésénél,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b) építési reklámháló elhelyezésénél,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a város szempontjából jelentős rendezvényről </w:t>
      </w:r>
      <w:r w:rsidR="00260F47">
        <w:rPr>
          <w:rFonts w:ascii="Arial Narrow" w:hAnsi="Arial Narrow" w:cs="Arial"/>
        </w:rPr>
        <w:t>szóló</w:t>
      </w:r>
      <w:r>
        <w:rPr>
          <w:rFonts w:ascii="Arial Narrow" w:hAnsi="Arial Narrow" w:cs="Arial"/>
        </w:rPr>
        <w:t>, meghatározott időszakra elhelyezendő, hirdetmény kihelyezése esetén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d) építésügyi hatósági engedélyezési eljáráshoz nem kötött cégér elhelyezésénél és</w:t>
      </w:r>
    </w:p>
    <w:p w:rsidR="00BC221D" w:rsidRDefault="00BC221D" w:rsidP="00BC221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e) a helyi egyedi védelemben részesülő épületen, helyi területi védelemben részesülő és településképi szempontból meghatározó területeken közterületről látható homlokzati vagy tetőfelületen műszaki berendezés (napelem, napkollektor, gépészeti berendezések, szellőző- és klímaberendezés, szerelt égéstermék-elvezető, közműcsatlakozási berendezés, antenna) elhelyezése esetén.”</w:t>
      </w:r>
    </w:p>
    <w:p w:rsidR="00BC221D" w:rsidRDefault="00BC221D" w:rsidP="00260F47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0629BC" w:rsidRDefault="000629BC" w:rsidP="00DD704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DD7042" w:rsidRDefault="000629BC" w:rsidP="00DD7042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10</w:t>
      </w:r>
      <w:r w:rsidR="00DD7042">
        <w:rPr>
          <w:rFonts w:ascii="Arial Narrow" w:hAnsi="Arial Narrow" w:cs="Arial"/>
        </w:rPr>
        <w:t>. §</w:t>
      </w:r>
    </w:p>
    <w:p w:rsidR="00DD7042" w:rsidRDefault="00DD7042" w:rsidP="00DD7042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DD7042" w:rsidRDefault="00DD7042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Ez a rendelet </w:t>
      </w:r>
      <w:r w:rsidR="00260F47">
        <w:rPr>
          <w:rFonts w:ascii="Arial Narrow" w:hAnsi="Arial Narrow" w:cs="Arial"/>
        </w:rPr>
        <w:t>2022. november 30-án</w:t>
      </w:r>
      <w:r>
        <w:rPr>
          <w:rFonts w:ascii="Arial Narrow" w:hAnsi="Arial Narrow" w:cs="Arial"/>
        </w:rPr>
        <w:t xml:space="preserve"> lép hatályba.</w:t>
      </w:r>
    </w:p>
    <w:p w:rsidR="00B2259D" w:rsidRDefault="00B2259D" w:rsidP="00DD7042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D34877" w:rsidRDefault="00D34877" w:rsidP="00B2259D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D34877" w:rsidRDefault="00D34877" w:rsidP="00B2259D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B2259D" w:rsidRDefault="001137C7" w:rsidP="00B2259D">
      <w:pPr>
        <w:tabs>
          <w:tab w:val="center" w:pos="666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B2259D">
        <w:rPr>
          <w:rFonts w:ascii="Arial Narrow" w:hAnsi="Arial Narrow" w:cs="Arial"/>
        </w:rPr>
        <w:t>ndokolás</w:t>
      </w:r>
    </w:p>
    <w:p w:rsidR="00B2259D" w:rsidRDefault="00B2259D" w:rsidP="00B2259D">
      <w:pPr>
        <w:tabs>
          <w:tab w:val="center" w:pos="6660"/>
        </w:tabs>
        <w:jc w:val="center"/>
        <w:rPr>
          <w:rFonts w:ascii="Arial Narrow" w:hAnsi="Arial Narrow" w:cs="Arial"/>
        </w:rPr>
      </w:pPr>
    </w:p>
    <w:p w:rsidR="001137C7" w:rsidRDefault="00260F47" w:rsidP="00B2259D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településkép védelméről szóló 2016. évi LXXIV. tv. 14. § (1) bekezdése értelmében a Helyi Építési Szabályzatban meglévő településképi követelményeket nem lehet alkalmazni, jogharmonizáció keretében, az állami főépítész VA/ÁFI/660-22/2022. számú</w:t>
      </w:r>
      <w:r w:rsidR="00095C1F">
        <w:rPr>
          <w:rFonts w:ascii="Arial Narrow" w:hAnsi="Arial Narrow" w:cs="Arial"/>
        </w:rPr>
        <w:t xml:space="preserve"> jegyzőkönyvébe foglaltaknak megfelelően, azok </w:t>
      </w:r>
      <w:r w:rsidR="00976224">
        <w:rPr>
          <w:rFonts w:ascii="Arial Narrow" w:hAnsi="Arial Narrow" w:cs="Arial"/>
        </w:rPr>
        <w:t xml:space="preserve">a </w:t>
      </w:r>
      <w:r w:rsidR="00095C1F">
        <w:rPr>
          <w:rFonts w:ascii="Arial Narrow" w:hAnsi="Arial Narrow" w:cs="Arial"/>
        </w:rPr>
        <w:t xml:space="preserve">Celldömölk Város </w:t>
      </w:r>
      <w:r w:rsidR="00976224">
        <w:rPr>
          <w:rFonts w:ascii="Arial Narrow" w:hAnsi="Arial Narrow" w:cs="Arial"/>
        </w:rPr>
        <w:t>Helyi Építési Szabályzatáról szóló 34/2006. (XI. 8.) önkormányzati rendelet</w:t>
      </w:r>
      <w:r w:rsidR="001239B1">
        <w:rPr>
          <w:rFonts w:ascii="Arial Narrow" w:hAnsi="Arial Narrow" w:cs="Arial"/>
        </w:rPr>
        <w:t>ben 2022. november 30-ával</w:t>
      </w:r>
      <w:r w:rsidR="00976224">
        <w:rPr>
          <w:rFonts w:ascii="Arial Narrow" w:hAnsi="Arial Narrow" w:cs="Arial"/>
        </w:rPr>
        <w:t xml:space="preserve"> hatályon kívül helyezve, a rendeletbe kerültek át. </w:t>
      </w:r>
    </w:p>
    <w:p w:rsidR="001239B1" w:rsidRDefault="001239B1" w:rsidP="001239B1">
      <w:pPr>
        <w:tabs>
          <w:tab w:val="center" w:pos="66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</w:t>
      </w:r>
      <w:r w:rsidRPr="001239B1">
        <w:rPr>
          <w:rFonts w:ascii="Arial Narrow" w:hAnsi="Arial Narrow" w:cs="Arial"/>
        </w:rPr>
        <w:t>lakások energetikai fejlesztése iránt</w:t>
      </w:r>
      <w:r>
        <w:rPr>
          <w:rFonts w:ascii="Arial Narrow" w:hAnsi="Arial Narrow" w:cs="Arial"/>
        </w:rPr>
        <w:t xml:space="preserve"> megnövekedett igény alapján elvégzendő építési, szerelési munkák jelentős </w:t>
      </w:r>
      <w:r w:rsidRPr="001239B1">
        <w:rPr>
          <w:rFonts w:ascii="Arial Narrow" w:hAnsi="Arial Narrow" w:cs="Arial"/>
        </w:rPr>
        <w:t>mérté</w:t>
      </w:r>
      <w:r>
        <w:rPr>
          <w:rFonts w:ascii="Arial Narrow" w:hAnsi="Arial Narrow" w:cs="Arial"/>
        </w:rPr>
        <w:t>kű,</w:t>
      </w:r>
      <w:r w:rsidRPr="001239B1">
        <w:rPr>
          <w:rFonts w:ascii="Arial Narrow" w:hAnsi="Arial Narrow" w:cs="Arial"/>
        </w:rPr>
        <w:t xml:space="preserve"> utcáról is látható változásokat okoznak az épületek homlokzatán, tetőfelületén, ami kihatással van az utcaképr</w:t>
      </w:r>
      <w:r>
        <w:rPr>
          <w:rFonts w:ascii="Arial Narrow" w:hAnsi="Arial Narrow" w:cs="Arial"/>
        </w:rPr>
        <w:t xml:space="preserve">e, ezért szükségessé vált az épületek tetőzetén, homlokzatán a műszaki berendezések elhelyezési módjának részletes szabályozása. </w:t>
      </w:r>
    </w:p>
    <w:p w:rsidR="001239B1" w:rsidRDefault="001239B1" w:rsidP="001239B1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1239B1" w:rsidRPr="001239B1" w:rsidRDefault="001239B1" w:rsidP="001239B1">
      <w:pPr>
        <w:tabs>
          <w:tab w:val="center" w:pos="6660"/>
        </w:tabs>
        <w:jc w:val="both"/>
        <w:rPr>
          <w:rFonts w:ascii="Arial Narrow" w:hAnsi="Arial Narrow" w:cs="Arial"/>
        </w:rPr>
      </w:pPr>
    </w:p>
    <w:p w:rsidR="001137C7" w:rsidRPr="00632AE4" w:rsidRDefault="001137C7" w:rsidP="00B2259D">
      <w:pPr>
        <w:tabs>
          <w:tab w:val="center" w:pos="6660"/>
        </w:tabs>
        <w:jc w:val="both"/>
        <w:rPr>
          <w:rFonts w:ascii="Arial Narrow" w:hAnsi="Arial Narrow" w:cs="Arial"/>
        </w:rPr>
      </w:pPr>
    </w:p>
    <w:sectPr w:rsidR="001137C7" w:rsidRPr="006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F1"/>
    <w:multiLevelType w:val="hybridMultilevel"/>
    <w:tmpl w:val="A84E6152"/>
    <w:lvl w:ilvl="0" w:tplc="040E000F">
      <w:start w:val="1"/>
      <w:numFmt w:val="decimal"/>
      <w:lvlText w:val="%1."/>
      <w:lvlJc w:val="left"/>
      <w:pPr>
        <w:ind w:left="2142" w:hanging="360"/>
      </w:pPr>
    </w:lvl>
    <w:lvl w:ilvl="1" w:tplc="040E0019" w:tentative="1">
      <w:start w:val="1"/>
      <w:numFmt w:val="lowerLetter"/>
      <w:lvlText w:val="%2."/>
      <w:lvlJc w:val="left"/>
      <w:pPr>
        <w:ind w:left="2862" w:hanging="360"/>
      </w:pPr>
    </w:lvl>
    <w:lvl w:ilvl="2" w:tplc="040E001B" w:tentative="1">
      <w:start w:val="1"/>
      <w:numFmt w:val="lowerRoman"/>
      <w:lvlText w:val="%3."/>
      <w:lvlJc w:val="right"/>
      <w:pPr>
        <w:ind w:left="3582" w:hanging="180"/>
      </w:pPr>
    </w:lvl>
    <w:lvl w:ilvl="3" w:tplc="040E000F" w:tentative="1">
      <w:start w:val="1"/>
      <w:numFmt w:val="decimal"/>
      <w:lvlText w:val="%4."/>
      <w:lvlJc w:val="left"/>
      <w:pPr>
        <w:ind w:left="4302" w:hanging="360"/>
      </w:pPr>
    </w:lvl>
    <w:lvl w:ilvl="4" w:tplc="040E0019" w:tentative="1">
      <w:start w:val="1"/>
      <w:numFmt w:val="lowerLetter"/>
      <w:lvlText w:val="%5."/>
      <w:lvlJc w:val="left"/>
      <w:pPr>
        <w:ind w:left="5022" w:hanging="360"/>
      </w:pPr>
    </w:lvl>
    <w:lvl w:ilvl="5" w:tplc="040E001B" w:tentative="1">
      <w:start w:val="1"/>
      <w:numFmt w:val="lowerRoman"/>
      <w:lvlText w:val="%6."/>
      <w:lvlJc w:val="right"/>
      <w:pPr>
        <w:ind w:left="5742" w:hanging="180"/>
      </w:pPr>
    </w:lvl>
    <w:lvl w:ilvl="6" w:tplc="040E000F" w:tentative="1">
      <w:start w:val="1"/>
      <w:numFmt w:val="decimal"/>
      <w:lvlText w:val="%7."/>
      <w:lvlJc w:val="left"/>
      <w:pPr>
        <w:ind w:left="6462" w:hanging="360"/>
      </w:pPr>
    </w:lvl>
    <w:lvl w:ilvl="7" w:tplc="040E0019" w:tentative="1">
      <w:start w:val="1"/>
      <w:numFmt w:val="lowerLetter"/>
      <w:lvlText w:val="%8."/>
      <w:lvlJc w:val="left"/>
      <w:pPr>
        <w:ind w:left="7182" w:hanging="360"/>
      </w:pPr>
    </w:lvl>
    <w:lvl w:ilvl="8" w:tplc="040E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58D3237"/>
    <w:multiLevelType w:val="hybridMultilevel"/>
    <w:tmpl w:val="EB34B958"/>
    <w:lvl w:ilvl="0" w:tplc="9C642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3DC"/>
    <w:multiLevelType w:val="hybridMultilevel"/>
    <w:tmpl w:val="25686F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CF1"/>
    <w:multiLevelType w:val="hybridMultilevel"/>
    <w:tmpl w:val="F140E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0E1"/>
    <w:multiLevelType w:val="hybridMultilevel"/>
    <w:tmpl w:val="A66291E4"/>
    <w:lvl w:ilvl="0" w:tplc="FE9AF2FE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17" w:hanging="360"/>
      </w:pPr>
    </w:lvl>
    <w:lvl w:ilvl="2" w:tplc="040E001B" w:tentative="1">
      <w:start w:val="1"/>
      <w:numFmt w:val="lowerRoman"/>
      <w:lvlText w:val="%3."/>
      <w:lvlJc w:val="right"/>
      <w:pPr>
        <w:ind w:left="5337" w:hanging="180"/>
      </w:pPr>
    </w:lvl>
    <w:lvl w:ilvl="3" w:tplc="040E000F" w:tentative="1">
      <w:start w:val="1"/>
      <w:numFmt w:val="decimal"/>
      <w:lvlText w:val="%4."/>
      <w:lvlJc w:val="left"/>
      <w:pPr>
        <w:ind w:left="6057" w:hanging="360"/>
      </w:pPr>
    </w:lvl>
    <w:lvl w:ilvl="4" w:tplc="040E0019" w:tentative="1">
      <w:start w:val="1"/>
      <w:numFmt w:val="lowerLetter"/>
      <w:lvlText w:val="%5."/>
      <w:lvlJc w:val="left"/>
      <w:pPr>
        <w:ind w:left="6777" w:hanging="360"/>
      </w:pPr>
    </w:lvl>
    <w:lvl w:ilvl="5" w:tplc="040E001B" w:tentative="1">
      <w:start w:val="1"/>
      <w:numFmt w:val="lowerRoman"/>
      <w:lvlText w:val="%6."/>
      <w:lvlJc w:val="right"/>
      <w:pPr>
        <w:ind w:left="7497" w:hanging="180"/>
      </w:pPr>
    </w:lvl>
    <w:lvl w:ilvl="6" w:tplc="040E000F" w:tentative="1">
      <w:start w:val="1"/>
      <w:numFmt w:val="decimal"/>
      <w:lvlText w:val="%7."/>
      <w:lvlJc w:val="left"/>
      <w:pPr>
        <w:ind w:left="8217" w:hanging="360"/>
      </w:pPr>
    </w:lvl>
    <w:lvl w:ilvl="7" w:tplc="040E0019" w:tentative="1">
      <w:start w:val="1"/>
      <w:numFmt w:val="lowerLetter"/>
      <w:lvlText w:val="%8."/>
      <w:lvlJc w:val="left"/>
      <w:pPr>
        <w:ind w:left="8937" w:hanging="360"/>
      </w:pPr>
    </w:lvl>
    <w:lvl w:ilvl="8" w:tplc="040E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5" w15:restartNumberingAfterBreak="0">
    <w:nsid w:val="14A41ED4"/>
    <w:multiLevelType w:val="hybridMultilevel"/>
    <w:tmpl w:val="28046E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37C7"/>
    <w:multiLevelType w:val="hybridMultilevel"/>
    <w:tmpl w:val="F6A83158"/>
    <w:lvl w:ilvl="0" w:tplc="6B9A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49AD"/>
    <w:multiLevelType w:val="multilevel"/>
    <w:tmpl w:val="6308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4EBF"/>
    <w:multiLevelType w:val="hybridMultilevel"/>
    <w:tmpl w:val="7466D2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B27"/>
    <w:multiLevelType w:val="hybridMultilevel"/>
    <w:tmpl w:val="2B92E7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297E"/>
    <w:multiLevelType w:val="hybridMultilevel"/>
    <w:tmpl w:val="142896C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F434CD9"/>
    <w:multiLevelType w:val="hybridMultilevel"/>
    <w:tmpl w:val="47586D3A"/>
    <w:lvl w:ilvl="0" w:tplc="75BC2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20910"/>
    <w:multiLevelType w:val="hybridMultilevel"/>
    <w:tmpl w:val="1FC05BB2"/>
    <w:lvl w:ilvl="0" w:tplc="9A86843A">
      <w:start w:val="1"/>
      <w:numFmt w:val="decimal"/>
      <w:lvlText w:val="%1.)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2D60733"/>
    <w:multiLevelType w:val="hybridMultilevel"/>
    <w:tmpl w:val="AC667A9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3B85"/>
    <w:multiLevelType w:val="hybridMultilevel"/>
    <w:tmpl w:val="227E8AF4"/>
    <w:lvl w:ilvl="0" w:tplc="5086BB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57D3"/>
    <w:multiLevelType w:val="hybridMultilevel"/>
    <w:tmpl w:val="A24A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3EF8"/>
    <w:multiLevelType w:val="hybridMultilevel"/>
    <w:tmpl w:val="76AE77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C1324"/>
    <w:multiLevelType w:val="hybridMultilevel"/>
    <w:tmpl w:val="E8826D3E"/>
    <w:lvl w:ilvl="0" w:tplc="B1549530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05A5B"/>
    <w:multiLevelType w:val="hybridMultilevel"/>
    <w:tmpl w:val="6CE868C6"/>
    <w:lvl w:ilvl="0" w:tplc="6C465640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6E2D722B"/>
    <w:multiLevelType w:val="hybridMultilevel"/>
    <w:tmpl w:val="C994DF56"/>
    <w:lvl w:ilvl="0" w:tplc="5F024202">
      <w:numFmt w:val="bullet"/>
      <w:lvlText w:val="-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D2AE8"/>
    <w:multiLevelType w:val="hybridMultilevel"/>
    <w:tmpl w:val="63089D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400FE"/>
    <w:multiLevelType w:val="hybridMultilevel"/>
    <w:tmpl w:val="7854CC3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4"/>
  </w:num>
  <w:num w:numId="5">
    <w:abstractNumId w:val="21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7"/>
  </w:num>
  <w:num w:numId="11">
    <w:abstractNumId w:val="6"/>
  </w:num>
  <w:num w:numId="12">
    <w:abstractNumId w:val="19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5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4"/>
    <w:rsid w:val="00006B5B"/>
    <w:rsid w:val="000110D9"/>
    <w:rsid w:val="00021344"/>
    <w:rsid w:val="00027138"/>
    <w:rsid w:val="000422DA"/>
    <w:rsid w:val="00054727"/>
    <w:rsid w:val="00060A34"/>
    <w:rsid w:val="000629BC"/>
    <w:rsid w:val="00095C1F"/>
    <w:rsid w:val="000A5B2F"/>
    <w:rsid w:val="000C16EF"/>
    <w:rsid w:val="000C3352"/>
    <w:rsid w:val="000F45B4"/>
    <w:rsid w:val="001137C7"/>
    <w:rsid w:val="001239B1"/>
    <w:rsid w:val="00130283"/>
    <w:rsid w:val="0013088C"/>
    <w:rsid w:val="001509A8"/>
    <w:rsid w:val="00161A12"/>
    <w:rsid w:val="0018289D"/>
    <w:rsid w:val="00182FF6"/>
    <w:rsid w:val="00190870"/>
    <w:rsid w:val="001A623A"/>
    <w:rsid w:val="001C31AB"/>
    <w:rsid w:val="00201568"/>
    <w:rsid w:val="002052F3"/>
    <w:rsid w:val="002135ED"/>
    <w:rsid w:val="00225BFA"/>
    <w:rsid w:val="00260F47"/>
    <w:rsid w:val="00260FA0"/>
    <w:rsid w:val="002807EF"/>
    <w:rsid w:val="002823B7"/>
    <w:rsid w:val="002A6730"/>
    <w:rsid w:val="00302726"/>
    <w:rsid w:val="00313EF7"/>
    <w:rsid w:val="00315327"/>
    <w:rsid w:val="0031569A"/>
    <w:rsid w:val="003212F2"/>
    <w:rsid w:val="00334307"/>
    <w:rsid w:val="003362E0"/>
    <w:rsid w:val="003734B6"/>
    <w:rsid w:val="0038519E"/>
    <w:rsid w:val="00391E9D"/>
    <w:rsid w:val="003A6759"/>
    <w:rsid w:val="003A75FD"/>
    <w:rsid w:val="003D324D"/>
    <w:rsid w:val="003E630C"/>
    <w:rsid w:val="003F21DF"/>
    <w:rsid w:val="00406490"/>
    <w:rsid w:val="00417E0C"/>
    <w:rsid w:val="00435A15"/>
    <w:rsid w:val="004708BB"/>
    <w:rsid w:val="00473BB6"/>
    <w:rsid w:val="004937AB"/>
    <w:rsid w:val="004A5844"/>
    <w:rsid w:val="004C08AA"/>
    <w:rsid w:val="004C0D76"/>
    <w:rsid w:val="004C1735"/>
    <w:rsid w:val="004C5B56"/>
    <w:rsid w:val="004E0098"/>
    <w:rsid w:val="0050091F"/>
    <w:rsid w:val="00515A22"/>
    <w:rsid w:val="00525DCC"/>
    <w:rsid w:val="00532231"/>
    <w:rsid w:val="005421F7"/>
    <w:rsid w:val="00586C1C"/>
    <w:rsid w:val="005937E1"/>
    <w:rsid w:val="00595A89"/>
    <w:rsid w:val="005A03B8"/>
    <w:rsid w:val="005B3539"/>
    <w:rsid w:val="005B3795"/>
    <w:rsid w:val="005C661A"/>
    <w:rsid w:val="005E068B"/>
    <w:rsid w:val="00601CCD"/>
    <w:rsid w:val="00606CD5"/>
    <w:rsid w:val="00625831"/>
    <w:rsid w:val="006329E4"/>
    <w:rsid w:val="00632AE4"/>
    <w:rsid w:val="00650B36"/>
    <w:rsid w:val="006530D5"/>
    <w:rsid w:val="00654AFF"/>
    <w:rsid w:val="00657D47"/>
    <w:rsid w:val="00694947"/>
    <w:rsid w:val="006B012A"/>
    <w:rsid w:val="006C42D6"/>
    <w:rsid w:val="006D4DA3"/>
    <w:rsid w:val="006D6858"/>
    <w:rsid w:val="006F6889"/>
    <w:rsid w:val="00707578"/>
    <w:rsid w:val="0071240D"/>
    <w:rsid w:val="007249E2"/>
    <w:rsid w:val="007374B0"/>
    <w:rsid w:val="007604D0"/>
    <w:rsid w:val="00790633"/>
    <w:rsid w:val="007B6665"/>
    <w:rsid w:val="007C51AF"/>
    <w:rsid w:val="007C73B0"/>
    <w:rsid w:val="007F04EA"/>
    <w:rsid w:val="0080778C"/>
    <w:rsid w:val="00814C57"/>
    <w:rsid w:val="00822312"/>
    <w:rsid w:val="00823DE5"/>
    <w:rsid w:val="00826494"/>
    <w:rsid w:val="00863DF1"/>
    <w:rsid w:val="008667CF"/>
    <w:rsid w:val="00866C76"/>
    <w:rsid w:val="008715C0"/>
    <w:rsid w:val="0089011F"/>
    <w:rsid w:val="00891112"/>
    <w:rsid w:val="008A6CEE"/>
    <w:rsid w:val="008D34C9"/>
    <w:rsid w:val="008E446A"/>
    <w:rsid w:val="008F511A"/>
    <w:rsid w:val="008F67BA"/>
    <w:rsid w:val="009134A6"/>
    <w:rsid w:val="00917ED0"/>
    <w:rsid w:val="00925DE3"/>
    <w:rsid w:val="00976224"/>
    <w:rsid w:val="00990E8E"/>
    <w:rsid w:val="0099197A"/>
    <w:rsid w:val="009B4D91"/>
    <w:rsid w:val="009B6377"/>
    <w:rsid w:val="009C34F9"/>
    <w:rsid w:val="009F5D49"/>
    <w:rsid w:val="00A00E56"/>
    <w:rsid w:val="00A211C6"/>
    <w:rsid w:val="00A35AD1"/>
    <w:rsid w:val="00A512B0"/>
    <w:rsid w:val="00A521B5"/>
    <w:rsid w:val="00A61537"/>
    <w:rsid w:val="00A62288"/>
    <w:rsid w:val="00A6507B"/>
    <w:rsid w:val="00A654E4"/>
    <w:rsid w:val="00A67307"/>
    <w:rsid w:val="00A76E46"/>
    <w:rsid w:val="00A8051C"/>
    <w:rsid w:val="00A8499A"/>
    <w:rsid w:val="00AB3B23"/>
    <w:rsid w:val="00AC3E79"/>
    <w:rsid w:val="00AF1847"/>
    <w:rsid w:val="00AF3CD8"/>
    <w:rsid w:val="00B15637"/>
    <w:rsid w:val="00B1598F"/>
    <w:rsid w:val="00B2259D"/>
    <w:rsid w:val="00B22653"/>
    <w:rsid w:val="00B23D98"/>
    <w:rsid w:val="00B34979"/>
    <w:rsid w:val="00B62EEC"/>
    <w:rsid w:val="00BA0AF1"/>
    <w:rsid w:val="00BA5502"/>
    <w:rsid w:val="00BC221D"/>
    <w:rsid w:val="00BD3D21"/>
    <w:rsid w:val="00BE0A7E"/>
    <w:rsid w:val="00C05300"/>
    <w:rsid w:val="00C077F7"/>
    <w:rsid w:val="00C15361"/>
    <w:rsid w:val="00C357A2"/>
    <w:rsid w:val="00C529DD"/>
    <w:rsid w:val="00C54FC7"/>
    <w:rsid w:val="00C75EFA"/>
    <w:rsid w:val="00C904AA"/>
    <w:rsid w:val="00C93BEF"/>
    <w:rsid w:val="00CA2263"/>
    <w:rsid w:val="00CA7923"/>
    <w:rsid w:val="00CB50C6"/>
    <w:rsid w:val="00CC2838"/>
    <w:rsid w:val="00CC426C"/>
    <w:rsid w:val="00CD216C"/>
    <w:rsid w:val="00CE200B"/>
    <w:rsid w:val="00CE709C"/>
    <w:rsid w:val="00CF0372"/>
    <w:rsid w:val="00CF634F"/>
    <w:rsid w:val="00D07A9F"/>
    <w:rsid w:val="00D1444B"/>
    <w:rsid w:val="00D20F38"/>
    <w:rsid w:val="00D34877"/>
    <w:rsid w:val="00D40096"/>
    <w:rsid w:val="00D43EE6"/>
    <w:rsid w:val="00D453EE"/>
    <w:rsid w:val="00D6022F"/>
    <w:rsid w:val="00D616FF"/>
    <w:rsid w:val="00D7305B"/>
    <w:rsid w:val="00D92988"/>
    <w:rsid w:val="00D94372"/>
    <w:rsid w:val="00DB1620"/>
    <w:rsid w:val="00DD7042"/>
    <w:rsid w:val="00DF4F95"/>
    <w:rsid w:val="00E072EB"/>
    <w:rsid w:val="00E7575D"/>
    <w:rsid w:val="00E75AED"/>
    <w:rsid w:val="00E83A4B"/>
    <w:rsid w:val="00E9739A"/>
    <w:rsid w:val="00EA51D3"/>
    <w:rsid w:val="00EA7DE9"/>
    <w:rsid w:val="00EC014B"/>
    <w:rsid w:val="00EC44F6"/>
    <w:rsid w:val="00EF37D4"/>
    <w:rsid w:val="00F01A5D"/>
    <w:rsid w:val="00F01B48"/>
    <w:rsid w:val="00F16FE2"/>
    <w:rsid w:val="00F2105E"/>
    <w:rsid w:val="00F6098E"/>
    <w:rsid w:val="00F64B6C"/>
    <w:rsid w:val="00F71E1F"/>
    <w:rsid w:val="00F7449F"/>
    <w:rsid w:val="00F96FBC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7057-E8E6-4071-944E-81B4099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2">
    <w:name w:val="Body Text Indent 2"/>
    <w:basedOn w:val="Norml"/>
    <w:pPr>
      <w:ind w:left="1080"/>
      <w:jc w:val="both"/>
    </w:pPr>
  </w:style>
  <w:style w:type="paragraph" w:styleId="Szvegtrzs">
    <w:name w:val="Body Text"/>
    <w:basedOn w:val="Norml"/>
    <w:link w:val="SzvegtrzsChar"/>
    <w:uiPriority w:val="99"/>
    <w:semiHidden/>
    <w:unhideWhenUsed/>
    <w:rsid w:val="00C75EFA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semiHidden/>
    <w:rsid w:val="00C75E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46A"/>
    <w:pPr>
      <w:ind w:left="708"/>
    </w:pPr>
  </w:style>
  <w:style w:type="character" w:styleId="Hiperhivatkozs">
    <w:name w:val="Hyperlink"/>
    <w:uiPriority w:val="99"/>
    <w:unhideWhenUsed/>
    <w:rsid w:val="00C529D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D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7CD6-7971-4126-9878-8159203F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CELLDÖMÖLK VÁROS ÖNKORMÁNYZATÁNAK</vt:lpstr>
    </vt:vector>
  </TitlesOfParts>
  <Company>Polgármesteri Hivatal Celldömölk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CELLDÖMÖLK VÁROS ÖNKORMÁNYZATÁNAK</dc:title>
  <dc:subject/>
  <dc:creator>Treiber Zita</dc:creator>
  <cp:keywords/>
  <cp:lastModifiedBy>User</cp:lastModifiedBy>
  <cp:revision>2</cp:revision>
  <cp:lastPrinted>2015-09-23T12:06:00Z</cp:lastPrinted>
  <dcterms:created xsi:type="dcterms:W3CDTF">2022-10-27T08:33:00Z</dcterms:created>
  <dcterms:modified xsi:type="dcterms:W3CDTF">2022-10-27T08:33:00Z</dcterms:modified>
</cp:coreProperties>
</file>