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49C3"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4CE8A850"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148DE340"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2253CE17"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041618E8"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5EC639D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75A705B0"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23921D70"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378005C3"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4569ECE5"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0BB1EBFB"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43B6A70B"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513326F0"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3269AC24"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1AFDAA96"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1085F73D"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7E6AA238"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5BDE2DFC"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75970F42"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3F315AB3"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w:t>
      </w:r>
      <w:proofErr w:type="gramStart"/>
      <w:r w:rsidRPr="00B37DA2">
        <w:rPr>
          <w:rFonts w:ascii="Times New Roman" w:eastAsia="Arial" w:hAnsi="Times New Roman" w:cs="Times New Roman"/>
          <w:color w:val="1A171C"/>
          <w:sz w:val="24"/>
          <w:szCs w:val="24"/>
          <w:shd w:val="clear" w:color="auto" w:fill="FFFFFF"/>
          <w:lang w:eastAsia="hu-HU" w:bidi="hu-HU"/>
        </w:rPr>
        <w:t>személyi jövedelemadóról szóló törvény,</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14:paraId="63716B7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 xml:space="preserve">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B37DA2">
        <w:rPr>
          <w:rFonts w:ascii="Times New Roman" w:eastAsia="Arial" w:hAnsi="Times New Roman" w:cs="Times New Roman"/>
          <w:color w:val="1A171C"/>
          <w:sz w:val="24"/>
          <w:szCs w:val="24"/>
          <w:shd w:val="clear" w:color="auto" w:fill="FFFFFF"/>
          <w:lang w:eastAsia="hu-HU" w:bidi="hu-HU"/>
        </w:rPr>
        <w:t>fióktelepe</w:t>
      </w:r>
      <w:proofErr w:type="spellEnd"/>
      <w:r w:rsidRPr="00B37DA2">
        <w:rPr>
          <w:rFonts w:ascii="Times New Roman" w:eastAsia="Arial" w:hAnsi="Times New Roman" w:cs="Times New Roman"/>
          <w:color w:val="1A171C"/>
          <w:sz w:val="24"/>
          <w:szCs w:val="24"/>
          <w:shd w:val="clear" w:color="auto" w:fill="FFFFFF"/>
          <w:lang w:eastAsia="hu-HU" w:bidi="hu-HU"/>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11342699"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18B96C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1C90280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615B69E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0AFBB8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proofErr w:type="spellStart"/>
      <w:r w:rsidRPr="00B37DA2">
        <w:rPr>
          <w:rFonts w:ascii="Times New Roman" w:eastAsia="Arial" w:hAnsi="Times New Roman" w:cs="Times New Roman"/>
          <w:color w:val="1A171C"/>
          <w:sz w:val="24"/>
          <w:szCs w:val="24"/>
          <w:shd w:val="clear" w:color="auto" w:fill="FFFFFF"/>
          <w:lang w:eastAsia="hu-HU" w:bidi="hu-HU"/>
        </w:rPr>
        <w:lastRenderedPageBreak/>
        <w:t>telephelyet</w:t>
      </w:r>
      <w:proofErr w:type="spellEnd"/>
      <w:r w:rsidRPr="00B37DA2">
        <w:rPr>
          <w:rFonts w:ascii="Times New Roman" w:eastAsia="Arial" w:hAnsi="Times New Roman" w:cs="Times New Roman"/>
          <w:color w:val="1A171C"/>
          <w:sz w:val="24"/>
          <w:szCs w:val="24"/>
          <w:shd w:val="clear" w:color="auto" w:fill="FFFFFF"/>
          <w:lang w:eastAsia="hu-HU" w:bidi="hu-HU"/>
        </w:rPr>
        <w:t>.</w:t>
      </w:r>
    </w:p>
    <w:p w14:paraId="75EDC5D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14:paraId="3DCCF2B3" w14:textId="77777777"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w:t>
      </w:r>
      <w:proofErr w:type="spellEnd"/>
      <w:r w:rsidRPr="00B37DA2">
        <w:rPr>
          <w:rFonts w:ascii="Times New Roman" w:eastAsia="Arial" w:hAnsi="Times New Roman" w:cs="Times New Roman"/>
          <w:bCs/>
          <w:color w:val="1A171C"/>
          <w:sz w:val="24"/>
          <w:szCs w:val="24"/>
          <w:shd w:val="clear" w:color="auto" w:fill="FFFFFF"/>
          <w:lang w:eastAsia="hu-HU" w:bidi="hu-HU"/>
        </w:rPr>
        <w:t>-ben meghatározott időpontig</w:t>
      </w:r>
      <w:r w:rsidR="009B1BBC">
        <w:rPr>
          <w:rFonts w:ascii="Times New Roman" w:eastAsia="Arial" w:hAnsi="Times New Roman" w:cs="Times New Roman"/>
          <w:bCs/>
          <w:color w:val="1A171C"/>
          <w:sz w:val="24"/>
          <w:szCs w:val="24"/>
          <w:shd w:val="clear" w:color="auto" w:fill="FFFFFF"/>
          <w:lang w:eastAsia="hu-HU" w:bidi="hu-HU"/>
        </w:rPr>
        <w:t>:</w:t>
      </w:r>
    </w:p>
    <w:p w14:paraId="7A878C13" w14:textId="77777777"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14:paraId="3D15A6F2" w14:textId="77777777"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14:paraId="02B25714" w14:textId="77777777"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14:paraId="0EC3407B"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738D7A96" w14:textId="77777777"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14:paraId="15A4BD69"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14:paraId="6C0334CA"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520D2CCE" w14:textId="77777777"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w:t>
      </w:r>
      <w:proofErr w:type="gramStart"/>
      <w:r>
        <w:rPr>
          <w:rFonts w:ascii="Times New Roman" w:eastAsia="Arial" w:hAnsi="Times New Roman" w:cs="Times New Roman"/>
          <w:color w:val="1A171C"/>
          <w:sz w:val="24"/>
          <w:szCs w:val="24"/>
          <w:shd w:val="clear" w:color="auto" w:fill="FFFFFF"/>
          <w:lang w:eastAsia="hu-HU" w:bidi="hu-HU"/>
        </w:rPr>
        <w:t>ide értve</w:t>
      </w:r>
      <w:proofErr w:type="gramEnd"/>
      <w:r>
        <w:rPr>
          <w:rFonts w:ascii="Times New Roman" w:eastAsia="Arial" w:hAnsi="Times New Roman" w:cs="Times New Roman"/>
          <w:color w:val="1A171C"/>
          <w:sz w:val="24"/>
          <w:szCs w:val="24"/>
          <w:shd w:val="clear" w:color="auto" w:fill="FFFFFF"/>
          <w:lang w:eastAsia="hu-HU" w:bidi="hu-HU"/>
        </w:rPr>
        <w:t xml:space="preser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14:paraId="5E7CCBC0"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74A17AAF"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14:paraId="71EC8807"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1A2B6982"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0E7B6889"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2F660E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14:paraId="793826CE"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melletti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w:t>
      </w:r>
      <w:proofErr w:type="spellEnd"/>
      <w:r w:rsidR="002C1461" w:rsidRPr="002C1461">
        <w:rPr>
          <w:rFonts w:ascii="Times New Roman" w:eastAsia="Arial" w:hAnsi="Times New Roman" w:cs="Times New Roman"/>
          <w:b/>
          <w:bCs/>
          <w:color w:val="1A171C"/>
          <w:sz w:val="24"/>
          <w:szCs w:val="24"/>
          <w:shd w:val="clear" w:color="auto" w:fill="FFFFFF"/>
        </w:rPr>
        <w:t xml:space="preserve">-alany kivételével – </w:t>
      </w:r>
      <w:r w:rsidRPr="00B37DA2">
        <w:rPr>
          <w:rFonts w:ascii="Times New Roman" w:eastAsia="Arial" w:hAnsi="Times New Roman" w:cs="Times New Roman"/>
          <w:b/>
          <w:bCs/>
          <w:color w:val="1A171C"/>
          <w:sz w:val="24"/>
          <w:szCs w:val="24"/>
          <w:shd w:val="clear" w:color="auto" w:fill="FFFFFF"/>
        </w:rPr>
        <w:t xml:space="preserve">az </w:t>
      </w:r>
      <w:proofErr w:type="spellStart"/>
      <w:r w:rsidRPr="00B37DA2">
        <w:rPr>
          <w:rFonts w:ascii="Times New Roman" w:eastAsia="Arial" w:hAnsi="Times New Roman" w:cs="Times New Roman"/>
          <w:b/>
          <w:bCs/>
          <w:color w:val="1A171C"/>
          <w:sz w:val="24"/>
          <w:szCs w:val="24"/>
          <w:shd w:val="clear" w:color="auto" w:fill="FFFFFF"/>
        </w:rPr>
        <w:t>adóév</w:t>
      </w:r>
      <w:proofErr w:type="spellEnd"/>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7A35967B"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 xml:space="preserve">kell az éves bevallást benyújtani. Ezt a tényt a 4. pontban is jelölni kell. A bevallási időszak ebben az esetben értelemszerűen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(üzleti év) első és utolsó napja közötti időszakot jelenti, amely 12 hónapra terjed ki, kivéve az áttérés évét. Ez utóbbi esetben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az áttérés napjával, az utolsó napja pedig a választott mérlegforduló-nappal egyezik meg.</w:t>
      </w:r>
    </w:p>
    <w:p w14:paraId="74DAF161"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0E6B0A75"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en</w:t>
      </w:r>
      <w:proofErr w:type="spellEnd"/>
      <w:r w:rsidRPr="00B37DA2">
        <w:rPr>
          <w:rFonts w:ascii="Times New Roman" w:eastAsia="Arial" w:hAnsi="Times New Roman" w:cs="Times New Roman"/>
          <w:b/>
          <w:bCs/>
          <w:color w:val="1A171C"/>
          <w:sz w:val="24"/>
          <w:szCs w:val="24"/>
          <w:shd w:val="clear" w:color="auto" w:fill="FFFFFF"/>
        </w:rPr>
        <w:t xml:space="preserve">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 xml:space="preserve">akkor az adóévben fennálló adókötelezettség időtartamáról szóló bevallást csak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is egyaránt X-</w:t>
      </w:r>
      <w:proofErr w:type="spellStart"/>
      <w:r w:rsidRPr="00B37DA2">
        <w:rPr>
          <w:rFonts w:ascii="Times New Roman" w:eastAsia="Arial" w:hAnsi="Times New Roman" w:cs="Times New Roman"/>
          <w:b/>
          <w:bCs/>
          <w:color w:val="1A171C"/>
          <w:sz w:val="24"/>
          <w:szCs w:val="24"/>
          <w:shd w:val="clear" w:color="auto" w:fill="FFFFFF"/>
        </w:rPr>
        <w:t>et</w:t>
      </w:r>
      <w:proofErr w:type="spellEnd"/>
      <w:r w:rsidRPr="00B37DA2">
        <w:rPr>
          <w:rFonts w:ascii="Times New Roman" w:eastAsia="Arial" w:hAnsi="Times New Roman" w:cs="Times New Roman"/>
          <w:b/>
          <w:bCs/>
          <w:color w:val="1A171C"/>
          <w:sz w:val="24"/>
          <w:szCs w:val="24"/>
          <w:shd w:val="clear" w:color="auto" w:fill="FFFFFF"/>
        </w:rPr>
        <w:t xml:space="preserve">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3B7CD37E" w14:textId="77777777"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w:t>
      </w:r>
      <w:proofErr w:type="spellStart"/>
      <w:r w:rsidRPr="00AD5628">
        <w:rPr>
          <w:rFonts w:ascii="Times New Roman" w:eastAsia="Times New Roman" w:hAnsi="Times New Roman" w:cs="Times New Roman"/>
          <w:sz w:val="24"/>
          <w:szCs w:val="24"/>
        </w:rPr>
        <w:t>adóév</w:t>
      </w:r>
      <w:proofErr w:type="spellEnd"/>
      <w:r w:rsidRPr="00AD5628">
        <w:rPr>
          <w:rFonts w:ascii="Times New Roman" w:eastAsia="Times New Roman" w:hAnsi="Times New Roman" w:cs="Times New Roman"/>
          <w:sz w:val="24"/>
          <w:szCs w:val="24"/>
        </w:rPr>
        <w:t xml:space="preserve">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3ECA49F6"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71843D41"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w:t>
      </w:r>
      <w:proofErr w:type="spellEnd"/>
      <w:r>
        <w:rPr>
          <w:rFonts w:ascii="Times New Roman" w:eastAsia="Arial" w:hAnsi="Times New Roman" w:cs="Times New Roman"/>
          <w:color w:val="1A171C"/>
          <w:sz w:val="24"/>
          <w:szCs w:val="24"/>
          <w:shd w:val="clear" w:color="auto" w:fill="FFFFFF"/>
          <w:lang w:eastAsia="hu-HU" w:bidi="hu-HU"/>
        </w:rPr>
        <w:t xml:space="preserve">-alanyiság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792ECD1D"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137FBDF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félévének utolsó napjáig terjedő időszakra.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26A7338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sorba annak az adózónak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 az általános szabályok szerint vagy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77717000"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 xml:space="preserve">zésének, illetőleg közokiratba foglalásának napjától a cégjegyzékbe való bejegyzésének, vagy </w:t>
      </w:r>
      <w:proofErr w:type="gramStart"/>
      <w:r w:rsidRPr="00B37DA2">
        <w:rPr>
          <w:rFonts w:ascii="Times New Roman" w:eastAsia="Arial" w:hAnsi="Times New Roman" w:cs="Times New Roman"/>
          <w:color w:val="1A171C"/>
          <w:sz w:val="24"/>
          <w:szCs w:val="24"/>
          <w:shd w:val="clear" w:color="auto" w:fill="FFFFFF"/>
          <w:lang w:eastAsia="hu-HU" w:bidi="hu-HU"/>
        </w:rPr>
        <w:t>a cégbejegyzési kérelem jogerős elutasításának,</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a cégbejegyzési eljárás megszüntetésének napjáig terjedő időtartam minősül.</w:t>
      </w:r>
    </w:p>
    <w:p w14:paraId="55E2B0A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w:t>
      </w:r>
    </w:p>
    <w:p w14:paraId="749FCBDC"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315CA4E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4A2F97B9"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1EDC7192"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14:paraId="09FDADF5"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41. § (8) bekezdés alapján, a közös őstermelői igazolványban adószámmal rendelkező őstermelő (adózó), családi gazdálkodó bevallásának jelölése. E négyzetbe akkor kell X-</w:t>
      </w:r>
      <w:proofErr w:type="spellStart"/>
      <w:r w:rsidRPr="00B37DA2">
        <w:rPr>
          <w:rFonts w:ascii="Times New Roman" w:eastAsia="Arial" w:hAnsi="Times New Roman" w:cs="Times New Roman"/>
          <w:color w:val="1A171C"/>
          <w:sz w:val="24"/>
          <w:szCs w:val="24"/>
        </w:rPr>
        <w:t>et</w:t>
      </w:r>
      <w:proofErr w:type="spellEnd"/>
      <w:r w:rsidRPr="00B37DA2">
        <w:rPr>
          <w:rFonts w:ascii="Times New Roman" w:eastAsia="Arial" w:hAnsi="Times New Roman" w:cs="Times New Roman"/>
          <w:color w:val="1A171C"/>
          <w:sz w:val="24"/>
          <w:szCs w:val="24"/>
        </w:rPr>
        <w:t xml:space="preserve">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14:paraId="64074128"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055B7B5E" w14:textId="77777777"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14:paraId="219884D7"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732CEEB7"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1DCECEAE"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21DBA7C7"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02C04A79"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szabályozott ingatlanbefektetési elővállalkozás, valamint említettek projekttársasága e rovatba tesz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25F5BAE2"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14:paraId="5F0F290C"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w:t>
      </w:r>
      <w:proofErr w:type="spellStart"/>
      <w:r>
        <w:rPr>
          <w:rFonts w:ascii="Times New Roman" w:eastAsia="Arial" w:hAnsi="Times New Roman" w:cs="Times New Roman"/>
          <w:color w:val="1A171C"/>
          <w:sz w:val="24"/>
          <w:szCs w:val="24"/>
          <w:shd w:val="clear" w:color="auto" w:fill="FFFFFF"/>
          <w:lang w:eastAsia="hu-HU" w:bidi="hu-HU"/>
        </w:rPr>
        <w:t>et</w:t>
      </w:r>
      <w:proofErr w:type="spellEnd"/>
      <w:r>
        <w:rPr>
          <w:rFonts w:ascii="Times New Roman" w:eastAsia="Arial" w:hAnsi="Times New Roman" w:cs="Times New Roman"/>
          <w:color w:val="1A171C"/>
          <w:sz w:val="24"/>
          <w:szCs w:val="24"/>
          <w:shd w:val="clear" w:color="auto" w:fill="FFFFFF"/>
          <w:lang w:eastAsia="hu-HU" w:bidi="hu-HU"/>
        </w:rPr>
        <w:t xml:space="preserve">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14:paraId="63A6A3FF" w14:textId="77777777"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spellStart"/>
      <w:r w:rsidR="006977EB">
        <w:rPr>
          <w:rFonts w:ascii="Times New Roman" w:eastAsia="Arial" w:hAnsi="Times New Roman" w:cs="Times New Roman"/>
          <w:color w:val="1A171C"/>
          <w:sz w:val="24"/>
          <w:szCs w:val="24"/>
          <w:shd w:val="clear" w:color="auto" w:fill="FFFFFF"/>
          <w:lang w:eastAsia="hu-HU" w:bidi="hu-HU"/>
        </w:rPr>
        <w:t>mikro</w:t>
      </w:r>
      <w:proofErr w:type="spellEnd"/>
      <w:r w:rsidR="006977EB">
        <w:rPr>
          <w:rFonts w:ascii="Times New Roman" w:eastAsia="Arial" w:hAnsi="Times New Roman" w:cs="Times New Roman"/>
          <w:color w:val="1A171C"/>
          <w:sz w:val="24"/>
          <w:szCs w:val="24"/>
          <w:shd w:val="clear" w:color="auto" w:fill="FFFFFF"/>
          <w:lang w:eastAsia="hu-HU" w:bidi="hu-HU"/>
        </w:rPr>
        <w:t>-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w:t>
      </w:r>
      <w:proofErr w:type="spellStart"/>
      <w:r w:rsidR="002272E6">
        <w:rPr>
          <w:rFonts w:ascii="Times New Roman" w:eastAsia="Arial" w:hAnsi="Times New Roman" w:cs="Times New Roman"/>
          <w:color w:val="1A171C"/>
          <w:sz w:val="24"/>
          <w:szCs w:val="24"/>
          <w:shd w:val="clear" w:color="auto" w:fill="FFFFFF"/>
          <w:lang w:eastAsia="hu-HU" w:bidi="hu-HU"/>
        </w:rPr>
        <w:t>mikro</w:t>
      </w:r>
      <w:proofErr w:type="spellEnd"/>
      <w:r w:rsidR="002272E6">
        <w:rPr>
          <w:rFonts w:ascii="Times New Roman" w:eastAsia="Arial" w:hAnsi="Times New Roman" w:cs="Times New Roman"/>
          <w:color w:val="1A171C"/>
          <w:sz w:val="24"/>
          <w:szCs w:val="24"/>
          <w:shd w:val="clear" w:color="auto" w:fill="FFFFFF"/>
          <w:lang w:eastAsia="hu-HU" w:bidi="hu-HU"/>
        </w:rPr>
        <w:t xml:space="preserve">-,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14:paraId="0AEE6A65" w14:textId="77777777"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Azon adózónak kell e rovatba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14:paraId="777468B9"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47E27EB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5723EF8C"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18A9A92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3FC9ED3E"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409F3B5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 xml:space="preserve">és benyújtani az adóhatósághoz. Az </w:t>
      </w:r>
      <w:proofErr w:type="gramStart"/>
      <w:r w:rsidRPr="00B37DA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37B44DF3"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1B1F38D9"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w:t>
      </w:r>
    </w:p>
    <w:p w14:paraId="17D4A0F2"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532F1BA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 xml:space="preserve">annak az adóalanynak </w:t>
      </w:r>
      <w:proofErr w:type="gramStart"/>
      <w:r w:rsidRPr="00B37DA2">
        <w:rPr>
          <w:rFonts w:ascii="Times New Roman" w:eastAsia="Arial" w:hAnsi="Times New Roman" w:cs="Times New Roman"/>
          <w:b/>
          <w:bCs/>
          <w:color w:val="1A171C"/>
          <w:sz w:val="24"/>
          <w:szCs w:val="24"/>
          <w:shd w:val="clear" w:color="auto" w:fill="FFFFFF"/>
        </w:rPr>
        <w:t>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w:t>
      </w:r>
      <w:proofErr w:type="spellStart"/>
      <w:r w:rsidRPr="00B37DA2">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14:paraId="514501A1"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5F5C5228"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73C8AC1C"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747F975E"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5DDEF24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4D0059E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2185551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131E6E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1188F7C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4E97779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23D2FEC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14:paraId="70859B0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5098F0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16501920"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19E0AF4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5BB1EC2C"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53BE2D9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14:paraId="41E829B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14:paraId="029510E0"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2BB5081D"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5B0516DB"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 xml:space="preserve">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Ft-ot nem haladta meg,</w:t>
      </w:r>
    </w:p>
    <w:p w14:paraId="6D4AA3A0"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637429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7A7002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 VII. 1. sorát sem kell kitöltenie.</w:t>
      </w:r>
    </w:p>
    <w:p w14:paraId="361AFAD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44164773"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14:paraId="25BFE0D8"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[c) pont] erről nyilatkozik a bevallási nyomtatvány </w:t>
      </w:r>
      <w:proofErr w:type="spellStart"/>
      <w:r w:rsidRPr="00B37DA2">
        <w:rPr>
          <w:rFonts w:ascii="Times New Roman" w:eastAsia="Arial" w:hAnsi="Times New Roman" w:cs="Times New Roman"/>
          <w:color w:val="1A171C"/>
          <w:sz w:val="24"/>
          <w:szCs w:val="24"/>
          <w:shd w:val="clear" w:color="auto" w:fill="FFFFFF"/>
          <w:lang w:eastAsia="hu-HU" w:bidi="hu-HU"/>
        </w:rPr>
        <w:t>főlap</w:t>
      </w:r>
      <w:proofErr w:type="spellEnd"/>
      <w:r w:rsidRPr="00B37DA2">
        <w:rPr>
          <w:rFonts w:ascii="Times New Roman" w:eastAsia="Arial" w:hAnsi="Times New Roman" w:cs="Times New Roman"/>
          <w:color w:val="1A171C"/>
          <w:sz w:val="24"/>
          <w:szCs w:val="24"/>
          <w:shd w:val="clear" w:color="auto" w:fill="FFFFFF"/>
          <w:lang w:eastAsia="hu-HU" w:bidi="hu-HU"/>
        </w:rPr>
        <w:t xml:space="preserve">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4D217EAF"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1905CC9A"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0E86FF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6BFCC7CB"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5B89B7FF"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4D649837"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egyszerűsített adóalap-megállapítást választó bármely - 8 millió forintot meg nem haladó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azaz az adóalap összegét,</w:t>
      </w:r>
    </w:p>
    <w:p w14:paraId="27304302"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01877314"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14:paraId="44568774"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4697480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betétlapot csak annak a vállalkozásnak kell kitölteni, akinek nettó árbevétele az adóévben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forintot nem haladja meg és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(egyszerűsítetten) kívánja megállapítani az iparűzési adó alapját.</w:t>
      </w:r>
    </w:p>
    <w:p w14:paraId="34B32683"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57D92DA1"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41B8629D"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xml:space="preserve">.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59ABF4C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34DB5F86"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w:t>
      </w:r>
      <w:r w:rsidRPr="00B37DA2">
        <w:rPr>
          <w:rFonts w:ascii="Times New Roman" w:eastAsia="Arial" w:hAnsi="Times New Roman" w:cs="Times New Roman"/>
          <w:color w:val="1A171C"/>
          <w:sz w:val="24"/>
          <w:szCs w:val="24"/>
          <w:shd w:val="clear" w:color="auto" w:fill="FFFFFF"/>
          <w:lang w:eastAsia="hu-HU" w:bidi="hu-HU"/>
        </w:rPr>
        <w:lastRenderedPageBreak/>
        <w:t>csökkenteni a nettó árbevételt.</w:t>
      </w:r>
    </w:p>
    <w:p w14:paraId="5EEC659B"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w:t>
      </w:r>
      <w:proofErr w:type="gramStart"/>
      <w:r w:rsidR="00B37DA2" w:rsidRPr="00EA416F">
        <w:rPr>
          <w:rFonts w:ascii="Times New Roman" w:eastAsia="Arial" w:hAnsi="Times New Roman" w:cs="Times New Roman"/>
          <w:b/>
          <w:bCs/>
          <w:color w:val="1A171C"/>
          <w:sz w:val="24"/>
          <w:szCs w:val="24"/>
          <w:shd w:val="clear" w:color="auto" w:fill="FFFFFF"/>
        </w:rPr>
        <w:t>0”-</w:t>
      </w:r>
      <w:proofErr w:type="gramEnd"/>
      <w:r w:rsidR="00B37DA2" w:rsidRPr="00EA416F">
        <w:rPr>
          <w:rFonts w:ascii="Times New Roman" w:eastAsia="Arial" w:hAnsi="Times New Roman" w:cs="Times New Roman"/>
          <w:b/>
          <w:bCs/>
          <w:color w:val="1A171C"/>
          <w:sz w:val="24"/>
          <w:szCs w:val="24"/>
          <w:shd w:val="clear" w:color="auto" w:fill="FFFFFF"/>
        </w:rPr>
        <w:t>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2E02C18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a 8 millió forint időarányos részét el nem érő - nettó árbevételt meg nem haladó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3AC81AAF"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29B48AF6" w14:textId="77777777"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0E43BB9D"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és 40/K. §-a rendelkezik. Az áttérés adóévében főszabály szerint az IFRS-ek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xml:space="preserve">.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xml:space="preserve">. 40/K. §-a (1) bekezdésének értelmében.  Ez alól egy esetben ad felmentést a </w:t>
      </w:r>
      <w:proofErr w:type="spellStart"/>
      <w:r w:rsidR="00AD3287" w:rsidRPr="004667A0">
        <w:rPr>
          <w:sz w:val="24"/>
          <w:szCs w:val="24"/>
        </w:rPr>
        <w:t>Htv</w:t>
      </w:r>
      <w:proofErr w:type="spellEnd"/>
      <w:r w:rsidR="00AD3287" w:rsidRPr="004667A0">
        <w:rPr>
          <w:sz w:val="24"/>
          <w:szCs w:val="24"/>
        </w:rPr>
        <w:t xml:space="preserve">. 40/K. §-a (2) bekezdése, mégpedig akkor, ha a vállalkozó IFRS-ek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w:t>
      </w:r>
      <w:proofErr w:type="spellStart"/>
      <w:r w:rsidR="00AD3287" w:rsidRPr="004667A0">
        <w:rPr>
          <w:rFonts w:ascii="Times New Roman" w:eastAsia="Arial" w:hAnsi="Times New Roman" w:cs="Times New Roman"/>
          <w:sz w:val="24"/>
          <w:szCs w:val="24"/>
        </w:rPr>
        <w:t>adóév</w:t>
      </w:r>
      <w:proofErr w:type="spellEnd"/>
      <w:r w:rsidR="00AD3287" w:rsidRPr="004667A0">
        <w:rPr>
          <w:rFonts w:ascii="Times New Roman" w:eastAsia="Arial" w:hAnsi="Times New Roman" w:cs="Times New Roman"/>
          <w:sz w:val="24"/>
          <w:szCs w:val="24"/>
        </w:rPr>
        <w:t xml:space="preserve"> 12 hónapra számított adóalapjának összege. </w:t>
      </w:r>
    </w:p>
    <w:p w14:paraId="57812B02"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w:t>
      </w:r>
      <w:proofErr w:type="gramStart"/>
      <w:r w:rsidRPr="00AD3287">
        <w:rPr>
          <w:rFonts w:ascii="Times New Roman" w:eastAsia="Arial" w:hAnsi="Times New Roman" w:cs="Times New Roman"/>
          <w:sz w:val="24"/>
          <w:szCs w:val="24"/>
        </w:rPr>
        <w:t>azonban</w:t>
      </w:r>
      <w:proofErr w:type="gramEnd"/>
      <w:r w:rsidRPr="00AD3287">
        <w:rPr>
          <w:rFonts w:ascii="Times New Roman" w:eastAsia="Arial" w:hAnsi="Times New Roman" w:cs="Times New Roman"/>
          <w:sz w:val="24"/>
          <w:szCs w:val="24"/>
        </w:rPr>
        <w:t xml:space="preserve"> ha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115BD5AE"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0B21218C"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1110A738"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w:t>
      </w:r>
      <w:proofErr w:type="gramStart"/>
      <w:r w:rsidR="00B37DA2" w:rsidRPr="00B37DA2">
        <w:rPr>
          <w:rFonts w:ascii="Times New Roman" w:eastAsia="Arial" w:hAnsi="Times New Roman" w:cs="Times New Roman"/>
          <w:sz w:val="24"/>
          <w:szCs w:val="24"/>
        </w:rPr>
        <w:t>+,-</w:t>
      </w:r>
      <w:proofErr w:type="gramEnd"/>
      <w:r w:rsidR="00B37DA2" w:rsidRPr="00B37DA2">
        <w:rPr>
          <w:rFonts w:ascii="Times New Roman" w:eastAsia="Arial" w:hAnsi="Times New Roman" w:cs="Times New Roman"/>
          <w:sz w:val="24"/>
          <w:szCs w:val="24"/>
        </w:rPr>
        <w:t xml:space="preserve">).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46EBBB07" w14:textId="77777777"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5C72D169" w14:textId="77777777"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 xml:space="preserve">0 forint adóalaprész nem állapítható </w:t>
      </w:r>
      <w:proofErr w:type="spellStart"/>
      <w:r w:rsidR="009B1BBC" w:rsidRPr="004667A0">
        <w:rPr>
          <w:rFonts w:ascii="Times New Roman" w:eastAsia="Arial" w:hAnsi="Times New Roman" w:cs="Times New Roman"/>
          <w:b/>
          <w:color w:val="1A171C"/>
          <w:sz w:val="24"/>
          <w:szCs w:val="24"/>
          <w:shd w:val="clear" w:color="auto" w:fill="FFFFFF"/>
          <w:lang w:eastAsia="hu-HU" w:bidi="hu-HU"/>
        </w:rPr>
        <w:t>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w:t>
      </w:r>
      <w:proofErr w:type="spellEnd"/>
      <w:r w:rsidR="009B1BBC">
        <w:rPr>
          <w:rFonts w:ascii="Times New Roman" w:eastAsia="Arial" w:hAnsi="Times New Roman" w:cs="Times New Roman"/>
          <w:color w:val="1A171C"/>
          <w:sz w:val="24"/>
          <w:szCs w:val="24"/>
          <w:shd w:val="clear" w:color="auto" w:fill="FFFFFF"/>
          <w:lang w:eastAsia="hu-HU" w:bidi="hu-HU"/>
        </w:rPr>
        <w:t xml:space="preserve">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3BD88921"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7D11849C"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w:t>
      </w:r>
    </w:p>
    <w:p w14:paraId="24195BC5"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7BE25B38"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w:t>
      </w:r>
      <w:proofErr w:type="gramStart"/>
      <w:r w:rsidR="00B37DA2" w:rsidRPr="00B37DA2">
        <w:rPr>
          <w:rFonts w:ascii="Times New Roman" w:eastAsia="Arial" w:hAnsi="Times New Roman" w:cs="Times New Roman"/>
          <w:b/>
          <w:bCs/>
          <w:color w:val="1A171C"/>
          <w:sz w:val="24"/>
          <w:szCs w:val="24"/>
          <w:shd w:val="clear" w:color="auto" w:fill="FFFFFF"/>
        </w:rPr>
        <w:t>0”-</w:t>
      </w:r>
      <w:proofErr w:type="gramEnd"/>
      <w:r w:rsidR="00B37DA2" w:rsidRPr="00B37DA2">
        <w:rPr>
          <w:rFonts w:ascii="Times New Roman" w:eastAsia="Arial" w:hAnsi="Times New Roman" w:cs="Times New Roman"/>
          <w:b/>
          <w:bCs/>
          <w:color w:val="1A171C"/>
          <w:sz w:val="24"/>
          <w:szCs w:val="24"/>
          <w:shd w:val="clear" w:color="auto" w:fill="FFFFFF"/>
        </w:rPr>
        <w:t>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35D27E90" w14:textId="77777777"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w:t>
      </w:r>
      <w:proofErr w:type="spellStart"/>
      <w:r w:rsidR="00FE3518">
        <w:rPr>
          <w:rFonts w:ascii="Times New Roman" w:eastAsia="Arial" w:hAnsi="Times New Roman" w:cs="Times New Roman"/>
          <w:color w:val="1A171C"/>
          <w:sz w:val="24"/>
          <w:szCs w:val="24"/>
          <w:shd w:val="clear" w:color="auto" w:fill="FFFFFF"/>
          <w:lang w:eastAsia="hu-HU" w:bidi="hu-HU"/>
        </w:rPr>
        <w:t>Htv</w:t>
      </w:r>
      <w:proofErr w:type="spellEnd"/>
      <w:r w:rsidR="00FE3518">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w:t>
      </w:r>
      <w:proofErr w:type="spellStart"/>
      <w:r w:rsidR="00EF5BDE">
        <w:rPr>
          <w:rFonts w:ascii="Times New Roman" w:eastAsia="Arial" w:hAnsi="Times New Roman" w:cs="Times New Roman"/>
          <w:color w:val="1A171C"/>
          <w:sz w:val="24"/>
          <w:szCs w:val="24"/>
          <w:shd w:val="clear" w:color="auto" w:fill="FFFFFF"/>
          <w:lang w:eastAsia="hu-HU" w:bidi="hu-HU"/>
        </w:rPr>
        <w:t>Főlap</w:t>
      </w:r>
      <w:proofErr w:type="spellEnd"/>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674E20AB"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w:t>
      </w:r>
      <w:r w:rsidR="00B37DA2" w:rsidRPr="00B37DA2">
        <w:rPr>
          <w:rFonts w:ascii="Times New Roman" w:eastAsia="Arial" w:hAnsi="Times New Roman" w:cs="Times New Roman"/>
          <w:color w:val="1A171C"/>
          <w:sz w:val="24"/>
          <w:szCs w:val="24"/>
          <w:shd w:val="clear" w:color="auto" w:fill="FFFFFF"/>
          <w:lang w:eastAsia="hu-HU" w:bidi="hu-HU"/>
        </w:rPr>
        <w:lastRenderedPageBreak/>
        <w:t>millió Ft vállalkozási szintű adóalapot el nem érő vállalkozókat [az adókedvezmény az adó %-</w:t>
      </w:r>
      <w:proofErr w:type="spellStart"/>
      <w:r w:rsidR="00B37DA2" w:rsidRPr="00B37DA2">
        <w:rPr>
          <w:rFonts w:ascii="Times New Roman" w:eastAsia="Arial" w:hAnsi="Times New Roman" w:cs="Times New Roman"/>
          <w:color w:val="1A171C"/>
          <w:sz w:val="24"/>
          <w:szCs w:val="24"/>
          <w:shd w:val="clear" w:color="auto" w:fill="FFFFFF"/>
          <w:lang w:eastAsia="hu-HU" w:bidi="hu-HU"/>
        </w:rPr>
        <w:t>ában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3B482F77"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5B51BEEC" w14:textId="77777777"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proofErr w:type="gramStart"/>
      <w:r w:rsidR="00F22773" w:rsidRPr="004667A0">
        <w:rPr>
          <w:rFonts w:ascii="Times New Roman" w:eastAsia="Arial" w:hAnsi="Times New Roman" w:cs="Times New Roman"/>
          <w:b/>
          <w:bCs/>
          <w:color w:val="1A171C"/>
          <w:sz w:val="24"/>
          <w:szCs w:val="24"/>
          <w:shd w:val="clear" w:color="auto" w:fill="FFFFFF"/>
        </w:rPr>
        <w:t>sor</w:t>
      </w:r>
      <w:proofErr w:type="gramEnd"/>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14:paraId="6A1643A4" w14:textId="77777777"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14:paraId="732DD799" w14:textId="77777777"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14:paraId="40B4ED70" w14:textId="77777777"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14:paraId="7805A80B"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w:t>
      </w:r>
      <w:proofErr w:type="spellStart"/>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0C0C9D58"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5AFCE972"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beírni.</w:t>
      </w:r>
    </w:p>
    <w:p w14:paraId="3394A843"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településre jutó összegét kell feltüntetni.</w:t>
      </w:r>
    </w:p>
    <w:p w14:paraId="6907D0C1"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6BE061B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1A118F03"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14:paraId="2EA81E5D"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úgy kell tekinteni, mint belföldi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02A19913"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w:t>
      </w:r>
      <w:proofErr w:type="gramStart"/>
      <w:r w:rsidR="00B37DA2" w:rsidRPr="00B37DA2">
        <w:rPr>
          <w:rFonts w:ascii="Times New Roman" w:eastAsia="Arial" w:hAnsi="Times New Roman" w:cs="Times New Roman"/>
          <w:color w:val="1A171C"/>
          <w:sz w:val="24"/>
          <w:szCs w:val="24"/>
          <w:shd w:val="clear" w:color="auto" w:fill="FFFFFF"/>
          <w:lang w:eastAsia="hu-HU" w:bidi="hu-HU"/>
        </w:rPr>
        <w:t xml:space="preserve">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vállalkozás által az adóévben megfizetett (költségként, ráfordításként elszámolt) belföldi e-útdíj, külföldi e-útdíj és belföldi úthasználati díj együttes összegének 7,5%-át.</w:t>
      </w:r>
    </w:p>
    <w:p w14:paraId="0C7A25BA"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45061069"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14B073B0"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5052F28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előlegfizetési időszak általános esetben a bevallás benyújtás hónapját követő második hónap 1. napjától </w:t>
      </w:r>
      <w:r w:rsidRPr="00B37DA2">
        <w:rPr>
          <w:rFonts w:ascii="Times New Roman" w:eastAsia="Arial" w:hAnsi="Times New Roman" w:cs="Times New Roman"/>
          <w:color w:val="1A171C"/>
          <w:sz w:val="24"/>
          <w:szCs w:val="24"/>
          <w:shd w:val="clear" w:color="auto" w:fill="FFFFFF"/>
          <w:lang w:eastAsia="hu-HU" w:bidi="hu-HU"/>
        </w:rPr>
        <w:lastRenderedPageBreak/>
        <w:t>tart 12 hónapon keresztül, a 12. hónap utolsó napjáig. Az adózónak az előlegfizetési időszak első és utolsó napját kell beírnia a bevallás e sorába. Az előlegfizetés időszak (keresztfélév) tehát 12 hónapnyi időszakot ölel át.</w:t>
      </w:r>
    </w:p>
    <w:p w14:paraId="192F7C8A"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4DC97CE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harmadik hónapjának 15. napján esedékes (bevallott) előlegösszeg különbözetét kell szerepeltetni. Ha az adózónak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45C930F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52682A0D"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0122290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n kezdődő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168C2E56"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headerReference w:type="first" r:id="rId12"/>
          <w:pgSz w:w="11900" w:h="16840"/>
          <w:pgMar w:top="768" w:right="735" w:bottom="1166" w:left="728" w:header="0" w:footer="3" w:gutter="0"/>
          <w:cols w:space="157"/>
          <w:titlePg/>
        </w:sectPr>
      </w:pPr>
    </w:p>
    <w:p w14:paraId="1ADA4F58"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4422A77E"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008057AB"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56AFF078"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36A9120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 xml:space="preserve">hitelintézetnek, pénzügyi vállalkozásnak, biztosítónak, befektetési vállalkozásnak, </w:t>
      </w:r>
      <w:proofErr w:type="gramStart"/>
      <w:r w:rsidRPr="00B37DA2">
        <w:rPr>
          <w:rFonts w:ascii="Times New Roman" w:eastAsia="Arial" w:hAnsi="Times New Roman" w:cs="Times New Roman"/>
          <w:color w:val="1A171C"/>
          <w:sz w:val="24"/>
          <w:szCs w:val="24"/>
          <w:shd w:val="clear" w:color="auto" w:fill="FFFFFF"/>
          <w:lang w:eastAsia="hu-HU" w:bidi="hu-HU"/>
        </w:rPr>
        <w:t>ide értve</w:t>
      </w:r>
      <w:proofErr w:type="gramEnd"/>
      <w:r w:rsidRPr="00B37DA2">
        <w:rPr>
          <w:rFonts w:ascii="Times New Roman" w:eastAsia="Arial" w:hAnsi="Times New Roman" w:cs="Times New Roman"/>
          <w:color w:val="1A171C"/>
          <w:sz w:val="24"/>
          <w:szCs w:val="24"/>
          <w:shd w:val="clear" w:color="auto" w:fill="FFFFFF"/>
          <w:lang w:eastAsia="hu-HU" w:bidi="hu-HU"/>
        </w:rPr>
        <w:t xml:space="preser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0F253ABD"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224B0DDF"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aki tételes adóalap szerinti adózást választott,</w:t>
      </w:r>
    </w:p>
    <w:p w14:paraId="345FFA1B"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610AAC55"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1822081"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2825D6B9"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 xml:space="preserve">gatások összege nem tartozik a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árbevételbe</w:t>
      </w:r>
      <w:proofErr w:type="spellEnd"/>
      <w:r w:rsidRPr="00B37DA2">
        <w:rPr>
          <w:rFonts w:ascii="Times New Roman" w:eastAsia="Arial" w:hAnsi="Times New Roman" w:cs="Times New Roman"/>
          <w:color w:val="1A171C"/>
          <w:sz w:val="24"/>
          <w:szCs w:val="24"/>
          <w:shd w:val="clear" w:color="auto" w:fill="FFFFFF"/>
          <w:lang w:eastAsia="hu-HU" w:bidi="hu-HU"/>
        </w:rPr>
        <w:t>).</w:t>
      </w:r>
    </w:p>
    <w:p w14:paraId="4EAB3360"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w:t>
      </w:r>
      <w:proofErr w:type="spellStart"/>
      <w:r w:rsidRPr="00B37DA2">
        <w:rPr>
          <w:rFonts w:ascii="Times New Roman" w:eastAsia="Arial" w:hAnsi="Times New Roman" w:cs="Times New Roman"/>
          <w:sz w:val="24"/>
          <w:szCs w:val="24"/>
        </w:rPr>
        <w:t>oltalmi</w:t>
      </w:r>
      <w:proofErr w:type="spellEnd"/>
      <w:r w:rsidRPr="00B37DA2">
        <w:rPr>
          <w:rFonts w:ascii="Times New Roman" w:eastAsia="Arial" w:hAnsi="Times New Roman" w:cs="Times New Roman"/>
          <w:sz w:val="24"/>
          <w:szCs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18DEBE3F"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34353E98"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79AF2089"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árbevételből</w:t>
      </w:r>
      <w:proofErr w:type="spellEnd"/>
      <w:r w:rsidR="00B37DA2" w:rsidRPr="00DD41AA">
        <w:rPr>
          <w:rFonts w:ascii="Times New Roman" w:eastAsia="Arial" w:hAnsi="Times New Roman" w:cs="Times New Roman"/>
          <w:color w:val="1A171C"/>
          <w:sz w:val="24"/>
          <w:szCs w:val="24"/>
          <w:shd w:val="clear" w:color="auto" w:fill="FFFFFF"/>
          <w:lang w:eastAsia="hu-HU" w:bidi="hu-HU"/>
        </w:rPr>
        <w:t>.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 xml:space="preserve">lási díj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elszámolt összeget kell beírni.</w:t>
      </w:r>
    </w:p>
    <w:p w14:paraId="4E80275F"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25734E3E"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538D551F"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700773BB"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68EFB53B"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4F0892A4"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16EE813C"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56E0A49A"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3177E91"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375F3341"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5A3E0F65"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19E16AD0"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77CB6E3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5250778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406ECA1"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48B0D439"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14:paraId="42CA72BD"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6BA082F1"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07CC3FEE"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1BD41FC"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1499470D"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574783C8"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6D976320"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63C2A9C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3DF8FBF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3E6C1B8"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16A26FE9"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70ABFCBB"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110B8FE4"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039BDE58"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0DAD988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57C0721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CE5C569"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65D2F39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68D77BEF"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2DBA73BD"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4F6F36C"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0E5674C"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2BB8D2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w:t>
      </w:r>
      <w:proofErr w:type="spellStart"/>
      <w:r w:rsidRPr="00B37DA2">
        <w:rPr>
          <w:rFonts w:ascii="Times New Roman" w:eastAsia="Arial" w:hAnsi="Times New Roman" w:cs="Times New Roman"/>
          <w:b/>
          <w:bCs/>
          <w:color w:val="1A171C"/>
          <w:sz w:val="24"/>
          <w:szCs w:val="24"/>
          <w:shd w:val="clear" w:color="auto" w:fill="FFFFFF"/>
        </w:rPr>
        <w:t>árbevételből</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6C6FACE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14:paraId="1348C2D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14:paraId="69671FBF"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3439CF5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28D3CDC4"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6089A28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1B2D1C7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 xml:space="preserve">lön jogszabály alapján erre feljogosított dohánykiskereskedelem-ellátási tevékenységet végző személynél az általa dohánytermék-kiskereskedők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2CA8D725"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645273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 xml:space="preserve">alany nettó árbevételének a kapcsolt vállalkozások összes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árbevételében</w:t>
      </w:r>
      <w:proofErr w:type="spellEnd"/>
      <w:r w:rsidRPr="00B37DA2">
        <w:rPr>
          <w:rFonts w:ascii="Times New Roman" w:eastAsia="Arial" w:hAnsi="Times New Roman" w:cs="Times New Roman"/>
          <w:color w:val="1A171C"/>
          <w:sz w:val="24"/>
          <w:szCs w:val="24"/>
          <w:shd w:val="clear" w:color="auto" w:fill="FFFFFF"/>
          <w:lang w:eastAsia="hu-HU" w:bidi="hu-HU"/>
        </w:rPr>
        <w:t xml:space="preserve">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4A32F1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amely megfelel valamennyi, következő feltételnek:</w:t>
      </w:r>
    </w:p>
    <w:p w14:paraId="1F5FC38F"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37DDFB59"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5A005A39"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5A923531"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14:paraId="360F75A3"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0A20CA15"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26F52F4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272320EA"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14:paraId="09B2895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214BFB1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14:paraId="7AEC807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5E0835C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7C04257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461EA1C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2030E48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14:paraId="0EBAC57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2E370EB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113C9F89"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14:paraId="5DC0F37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árbevételből</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levonhatóságának korlátozása és az ezen korlátozás alóli kivételek. Nem kell az adóalap-összeszámítást alkalmazni és e III. pont szerinti sorokat kitölteni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I. sorban lévő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ha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2016. szeptember 30-át követően kezdődött és a kapcsolt vállalkozási viszony nem 2016. október 1-jét követő szétválással jött létre. Ezen esetben a II. pont szerinti sorokat kell kitölteni.</w:t>
      </w:r>
    </w:p>
    <w:p w14:paraId="4E489B2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14:paraId="52761F1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18934DA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14:paraId="661613F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7809F6C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314DF62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w:t>
      </w:r>
      <w:proofErr w:type="spellStart"/>
      <w:r w:rsidRPr="00B37DA2">
        <w:rPr>
          <w:rFonts w:ascii="Times New Roman" w:eastAsia="Arial" w:hAnsi="Times New Roman" w:cs="Times New Roman"/>
          <w:color w:val="1A171C"/>
          <w:sz w:val="24"/>
          <w:szCs w:val="24"/>
          <w:shd w:val="clear" w:color="auto" w:fill="FFFFFF"/>
          <w:lang w:eastAsia="hu-HU" w:bidi="hu-HU"/>
        </w:rPr>
        <w:t>bármelyike</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 xml:space="preserve">dohánykereskedelem-ellátási tevékenységet végző adózó esetén az általa dohánytermék-kereskedők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értékeként elszámolt dohánytermék beszerzési értékét.</w:t>
      </w:r>
    </w:p>
    <w:p w14:paraId="16E934B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-ként számolt el.</w:t>
      </w:r>
    </w:p>
    <w:p w14:paraId="0B986F0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71E846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76F39EF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14:paraId="7B2769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31FF0ED4"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20E8B7DB"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1AE2020F"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6B75C77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207163F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915B940"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1170AC03"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2A83A7D0"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17C99D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Az 1. pont vagy a 3. pont melletti négyzetbe lehet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2CA43212"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figyelembe véve a következő pontokban foglaltakat is.</w:t>
      </w:r>
    </w:p>
    <w:p w14:paraId="32219EA1"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4ECF41E8"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00203CB3"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írni.</w:t>
      </w:r>
    </w:p>
    <w:p w14:paraId="6FC5433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7DB08AEA"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 xml:space="preserve">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52. § 31. pont a) alpontja szerinti - telephelye(i)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8CE3DD9"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1B279E01"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59E53CB1"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4A56323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67D1084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59374A48"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14:paraId="392998BA"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0BD4F8FB"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04606DC2"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025F6447"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20969F22"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4D639CB1"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017F0BC5"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01F33367"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 xml:space="preserve">ebben a sorban a vállalkozás egészének szintjén képződő építőipari teljesítmény (építőipari tevékenységből eredő nettó árbevétel, valamint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napján fennálló, építőipari tevékenységgel összefüggésben készletre vett befejezetlen termelés, félkésztermék, késztermék értékének együttes összege) értékét kell feltüntetni.</w:t>
      </w:r>
    </w:p>
    <w:p w14:paraId="6A0797AF"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405312CA"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4E04A46D"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xml:space="preserve">, akiknek a számlázási címük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található.</w:t>
      </w:r>
    </w:p>
    <w:p w14:paraId="2324C9A8"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vezetékes távközlési szolgáltatást nyújtó esetén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555906A0"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13. sorban szereplő szolgáltatási hely számból a vezetékes szolgáltatást igénybe vevő számlázási címe alapján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lévő szolgáltatási helyek számát kell megadni.</w:t>
      </w:r>
    </w:p>
    <w:p w14:paraId="536004BC"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 xml:space="preserve">mazó nettó árbevétele az összes árbevétel 75%-át nem éri el. Itt kell szerepeltetnie az utólag fizetett díjú vezeték nélküli távközlési szolgáltatást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igénybe vevő összes előfizető számát.</w:t>
      </w:r>
    </w:p>
    <w:p w14:paraId="25A28D9F"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14:paraId="681FC0C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2532D4EE"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2A1F6B01"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1258D637"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751EAF14"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352F8DD3"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7C609F5B"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1CE5FBF"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053BD544"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637151FD"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0D635145"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36318F4C"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2653182C"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5CD32759"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2B997998"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39DA8427"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 xml:space="preserve">összegét (forintban). Több jövőben esedékes fizetési kötelezettség esetén </w:t>
      </w:r>
      <w:proofErr w:type="spellStart"/>
      <w:r w:rsidRPr="00FF29FA">
        <w:rPr>
          <w:rFonts w:ascii="Times New Roman" w:eastAsia="Arial" w:hAnsi="Times New Roman" w:cs="Times New Roman"/>
          <w:color w:val="1A171C"/>
          <w:sz w:val="24"/>
          <w:szCs w:val="24"/>
          <w:shd w:val="clear" w:color="auto" w:fill="FFFFFF"/>
          <w:lang w:eastAsia="hu-HU" w:bidi="hu-HU"/>
        </w:rPr>
        <w:t>közterhenként</w:t>
      </w:r>
      <w:proofErr w:type="spellEnd"/>
      <w:r w:rsidRPr="00FF29FA">
        <w:rPr>
          <w:rFonts w:ascii="Times New Roman" w:eastAsia="Arial" w:hAnsi="Times New Roman" w:cs="Times New Roman"/>
          <w:color w:val="1A171C"/>
          <w:sz w:val="24"/>
          <w:szCs w:val="24"/>
          <w:shd w:val="clear" w:color="auto" w:fill="FFFFFF"/>
          <w:lang w:eastAsia="hu-HU" w:bidi="hu-HU"/>
        </w:rPr>
        <w:t xml:space="preserve"> egy-egy sort kell kitölteni.</w:t>
      </w:r>
    </w:p>
    <w:p w14:paraId="0F0C8E09"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6FB195C8"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14:paraId="0ACC016F"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4F5FC8D4"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28A84E20"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BC9E4A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14:paraId="6B56FD37"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033D198D"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5A09DF5B"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47CA9B8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w:t>
      </w:r>
      <w:proofErr w:type="spellStart"/>
      <w:r w:rsidRPr="00B37DA2">
        <w:rPr>
          <w:rFonts w:ascii="Times New Roman" w:eastAsia="Arial" w:hAnsi="Times New Roman" w:cs="Times New Roman"/>
          <w:color w:val="1A171C"/>
          <w:sz w:val="24"/>
          <w:szCs w:val="24"/>
          <w:shd w:val="clear" w:color="auto" w:fill="FFFFFF"/>
          <w:lang w:eastAsia="hu-HU" w:bidi="hu-HU"/>
        </w:rPr>
        <w:t>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42BE3382"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15CAE06A"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3100259"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3836E0E1"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2C5DFBB2"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2C8D9AFB"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4F7F5551"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w:t>
      </w:r>
      <w:proofErr w:type="gramStart"/>
      <w:r w:rsidRPr="00B37DA2">
        <w:rPr>
          <w:rFonts w:ascii="Times New Roman" w:eastAsia="Arial" w:hAnsi="Times New Roman" w:cs="Times New Roman"/>
          <w:color w:val="1A171C"/>
          <w:sz w:val="24"/>
          <w:szCs w:val="24"/>
          <w:shd w:val="clear" w:color="auto" w:fill="FFFFFF"/>
          <w:lang w:eastAsia="hu-HU" w:bidi="hu-HU"/>
        </w:rPr>
        <w:t>csökkentett</w:t>
      </w:r>
      <w:proofErr w:type="gramEnd"/>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62F8DEDD"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008AA758"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62429363"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2F1D348E"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14:paraId="0E75E6A2"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14:paraId="5C1D8D6C"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 xml:space="preserve">sa során a szokásos fizetési határidőt meghaladó fizetési határnap esetén a vevőtől származó (járó) ellenértéket az eladott termék, nyújtott szolgáltatás </w:t>
      </w:r>
      <w:proofErr w:type="spellStart"/>
      <w:r w:rsidR="00C532EF" w:rsidRPr="00693E9A">
        <w:rPr>
          <w:rFonts w:ascii="Times New Roman" w:hAnsi="Times New Roman"/>
          <w:sz w:val="24"/>
          <w:szCs w:val="24"/>
        </w:rPr>
        <w:t>árbevételére</w:t>
      </w:r>
      <w:proofErr w:type="spellEnd"/>
      <w:r w:rsidR="00C532EF" w:rsidRPr="00693E9A">
        <w:rPr>
          <w:rFonts w:ascii="Times New Roman" w:hAnsi="Times New Roman"/>
          <w:sz w:val="24"/>
          <w:szCs w:val="24"/>
        </w:rPr>
        <w:t xml:space="preserv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14:paraId="74C74764"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1C0ABB65"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 xml:space="preserve">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14:paraId="62C3D31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14:paraId="0D867C3E"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w:t>
      </w:r>
      <w:proofErr w:type="gramStart"/>
      <w:r w:rsidR="000C0014" w:rsidRPr="00A3054F">
        <w:rPr>
          <w:rFonts w:ascii="Times New Roman" w:hAnsi="Times New Roman"/>
          <w:sz w:val="24"/>
          <w:szCs w:val="24"/>
        </w:rPr>
        <w:t>ide értve</w:t>
      </w:r>
      <w:proofErr w:type="gramEnd"/>
      <w:r w:rsidR="000C0014"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7B590A4C"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w:t>
      </w:r>
      <w:proofErr w:type="gramStart"/>
      <w:r w:rsidR="00013EAD">
        <w:rPr>
          <w:rFonts w:ascii="Times New Roman" w:hAnsi="Times New Roman"/>
          <w:sz w:val="24"/>
          <w:szCs w:val="24"/>
        </w:rPr>
        <w:t>–  olyan</w:t>
      </w:r>
      <w:proofErr w:type="gramEnd"/>
      <w:r w:rsidR="00013EAD">
        <w:rPr>
          <w:rFonts w:ascii="Times New Roman" w:hAnsi="Times New Roman"/>
          <w:sz w:val="24"/>
          <w:szCs w:val="24"/>
        </w:rPr>
        <w:t xml:space="preserve">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21ECF328"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w:t>
      </w:r>
      <w:proofErr w:type="spellStart"/>
      <w:r w:rsidR="00853782" w:rsidRPr="00A3054F">
        <w:rPr>
          <w:rFonts w:ascii="Times New Roman" w:hAnsi="Times New Roman"/>
          <w:sz w:val="24"/>
          <w:szCs w:val="24"/>
        </w:rPr>
        <w:t>árbevételbe</w:t>
      </w:r>
      <w:proofErr w:type="spellEnd"/>
      <w:r w:rsidR="00853782" w:rsidRPr="00A3054F">
        <w:rPr>
          <w:rFonts w:ascii="Times New Roman" w:hAnsi="Times New Roman"/>
          <w:sz w:val="24"/>
          <w:szCs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1A390E97"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w:t>
      </w:r>
      <w:proofErr w:type="gramStart"/>
      <w:r w:rsidR="00F67C9F" w:rsidRPr="00A3054F">
        <w:rPr>
          <w:rFonts w:ascii="Times New Roman" w:hAnsi="Times New Roman"/>
          <w:sz w:val="24"/>
          <w:szCs w:val="24"/>
        </w:rPr>
        <w:t xml:space="preserve">standard </w:t>
      </w:r>
      <w:r w:rsidR="00013EAD">
        <w:rPr>
          <w:rFonts w:ascii="Times New Roman" w:hAnsi="Times New Roman"/>
          <w:sz w:val="24"/>
          <w:szCs w:val="24"/>
        </w:rPr>
        <w:t>”A</w:t>
      </w:r>
      <w:proofErr w:type="gramEnd"/>
      <w:r w:rsidR="00013EAD">
        <w:rPr>
          <w:rFonts w:ascii="Times New Roman" w:hAnsi="Times New Roman"/>
          <w:sz w:val="24"/>
          <w:szCs w:val="24"/>
        </w:rPr>
        <w:t>”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19F16E28"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00465282" w:rsidRPr="0096428B">
        <w:rPr>
          <w:rFonts w:ascii="Times New Roman" w:hAnsi="Times New Roman"/>
          <w:sz w:val="24"/>
          <w:szCs w:val="24"/>
        </w:rPr>
        <w:t>ésszerűen</w:t>
      </w:r>
      <w:proofErr w:type="spellEnd"/>
      <w:r w:rsidR="00465282" w:rsidRPr="0096428B">
        <w:rPr>
          <w:rFonts w:ascii="Times New Roman" w:hAnsi="Times New Roman"/>
          <w:sz w:val="24"/>
          <w:szCs w:val="24"/>
        </w:rPr>
        <w:t xml:space="preserve">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5E1BA9F4"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6653E309"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pont szerinti ügyletről kiállított bizonylaton (számlán) feltüntetett - általános forgalmi adó nélküli - összeggel (vevőtől várt ellenszolgáltatással), amelyet a vállalkozó az IFRS-ek szerint bevételként (</w:t>
      </w:r>
      <w:proofErr w:type="spellStart"/>
      <w:r w:rsidR="00CC187F" w:rsidRPr="004667A0">
        <w:rPr>
          <w:rFonts w:ascii="Times New Roman" w:hAnsi="Times New Roman" w:cs="Times New Roman"/>
          <w:sz w:val="24"/>
          <w:szCs w:val="24"/>
        </w:rPr>
        <w:t>árbevételként</w:t>
      </w:r>
      <w:proofErr w:type="spellEnd"/>
      <w:r w:rsidR="00CC187F" w:rsidRPr="004667A0">
        <w:rPr>
          <w:rFonts w:ascii="Times New Roman" w:hAnsi="Times New Roman" w:cs="Times New Roman"/>
          <w:sz w:val="24"/>
          <w:szCs w:val="24"/>
        </w:rPr>
        <w:t xml:space="preserve">)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 xml:space="preserve">pontok szerinti bevételnövelő tételként nem számolt vagy nem számolhat </w:t>
      </w:r>
      <w:proofErr w:type="spellStart"/>
      <w:r w:rsidR="00CC187F" w:rsidRPr="004667A0">
        <w:rPr>
          <w:rFonts w:ascii="Times New Roman" w:hAnsi="Times New Roman" w:cs="Times New Roman"/>
          <w:sz w:val="24"/>
          <w:szCs w:val="24"/>
        </w:rPr>
        <w:t>el,feltéve</w:t>
      </w:r>
      <w:proofErr w:type="spellEnd"/>
      <w:r w:rsidR="00CC187F" w:rsidRPr="004667A0">
        <w:rPr>
          <w:rFonts w:ascii="Times New Roman" w:hAnsi="Times New Roman" w:cs="Times New Roman"/>
          <w:sz w:val="24"/>
          <w:szCs w:val="24"/>
        </w:rPr>
        <w:t>, ha azt a vállalkozó az (1) bekezdés szerinti bevételként nem vette figyelembe.</w:t>
      </w:r>
    </w:p>
    <w:p w14:paraId="3B39B19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 xml:space="preserv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0005371E" w:rsidRPr="0090239F">
        <w:rPr>
          <w:rFonts w:ascii="Times New Roman" w:eastAsia="Arial" w:hAnsi="Times New Roman"/>
          <w:sz w:val="24"/>
          <w:szCs w:val="24"/>
        </w:rPr>
        <w:t>oltalmi</w:t>
      </w:r>
      <w:proofErr w:type="spellEnd"/>
      <w:r w:rsidR="0005371E" w:rsidRPr="0090239F">
        <w:rPr>
          <w:rFonts w:ascii="Times New Roman" w:eastAsia="Arial" w:hAnsi="Times New Roman"/>
          <w:sz w:val="24"/>
          <w:szCs w:val="24"/>
        </w:rPr>
        <w:t xml:space="preserve">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2F5F38EA"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w:t>
      </w:r>
      <w:proofErr w:type="spellStart"/>
      <w:r w:rsidR="006F7DB4" w:rsidRPr="009803C4">
        <w:rPr>
          <w:rFonts w:ascii="Times New Roman" w:hAnsi="Times New Roman"/>
          <w:sz w:val="24"/>
          <w:szCs w:val="24"/>
        </w:rPr>
        <w:t>árbevételként</w:t>
      </w:r>
      <w:proofErr w:type="spellEnd"/>
      <w:r w:rsidR="006F7DB4" w:rsidRPr="009803C4">
        <w:rPr>
          <w:rFonts w:ascii="Times New Roman" w:hAnsi="Times New Roman"/>
          <w:sz w:val="24"/>
          <w:szCs w:val="24"/>
        </w:rPr>
        <w:t xml:space="preserve"> elszámolandó – felszolgálási díjat nem terheli iparűzési adó, ezért azt le kell vonni </w:t>
      </w:r>
      <w:r w:rsidR="006F7DB4" w:rsidRPr="009C77F9">
        <w:rPr>
          <w:rFonts w:ascii="Times New Roman" w:hAnsi="Times New Roman"/>
          <w:sz w:val="24"/>
          <w:szCs w:val="24"/>
        </w:rPr>
        <w:t xml:space="preserve">a nettó </w:t>
      </w:r>
      <w:proofErr w:type="spellStart"/>
      <w:r w:rsidR="006F7DB4" w:rsidRPr="009C77F9">
        <w:rPr>
          <w:rFonts w:ascii="Times New Roman" w:hAnsi="Times New Roman"/>
          <w:sz w:val="24"/>
          <w:szCs w:val="24"/>
        </w:rPr>
        <w:t>árbevételből</w:t>
      </w:r>
      <w:proofErr w:type="spellEnd"/>
      <w:r w:rsidR="006F7DB4" w:rsidRPr="009C77F9">
        <w:rPr>
          <w:rFonts w:ascii="Times New Roman" w:hAnsi="Times New Roman"/>
          <w:sz w:val="24"/>
          <w:szCs w:val="24"/>
        </w:rPr>
        <w:t xml:space="preserve">. Ebbe a sorba a felszolgálási díj </w:t>
      </w:r>
      <w:proofErr w:type="spellStart"/>
      <w:r w:rsidR="006F7DB4" w:rsidRPr="009C77F9">
        <w:rPr>
          <w:rFonts w:ascii="Times New Roman" w:hAnsi="Times New Roman"/>
          <w:sz w:val="24"/>
          <w:szCs w:val="24"/>
        </w:rPr>
        <w:t>árbevételként</w:t>
      </w:r>
      <w:proofErr w:type="spellEnd"/>
      <w:r w:rsidR="006F7DB4" w:rsidRPr="009C77F9">
        <w:rPr>
          <w:rFonts w:ascii="Times New Roman" w:hAnsi="Times New Roman"/>
          <w:sz w:val="24"/>
          <w:szCs w:val="24"/>
        </w:rPr>
        <w:t xml:space="preserve">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731725EC"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 xml:space="preserve">regisztrációs </w:t>
      </w:r>
      <w:proofErr w:type="gramStart"/>
      <w:r w:rsidR="00A72261" w:rsidRPr="00A3054F">
        <w:rPr>
          <w:rFonts w:ascii="Times New Roman" w:hAnsi="Times New Roman"/>
          <w:sz w:val="24"/>
          <w:szCs w:val="24"/>
        </w:rPr>
        <w:t>adó,  a</w:t>
      </w:r>
      <w:proofErr w:type="gramEnd"/>
      <w:r w:rsidR="00A72261" w:rsidRPr="00A3054F">
        <w:rPr>
          <w:rFonts w:ascii="Times New Roman" w:hAnsi="Times New Roman"/>
          <w:sz w:val="24"/>
          <w:szCs w:val="24"/>
        </w:rPr>
        <w:t xml:space="preserve"> népegészségügyi termékadó összegét külön is fel kell tüntetni</w:t>
      </w:r>
      <w:r w:rsidR="00B37DA2" w:rsidRPr="00B37DA2">
        <w:rPr>
          <w:rFonts w:ascii="Times New Roman" w:eastAsia="Arial" w:hAnsi="Times New Roman" w:cs="Times New Roman"/>
          <w:sz w:val="24"/>
          <w:szCs w:val="24"/>
        </w:rPr>
        <w:t>.</w:t>
      </w:r>
    </w:p>
    <w:p w14:paraId="5A16C26C"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IFRS-ek értelmében a különféle áruértékesítéssel, a szolgáltatásnyújtással (</w:t>
      </w:r>
      <w:proofErr w:type="gramStart"/>
      <w:r w:rsidR="003B4277" w:rsidRPr="00A3054F">
        <w:rPr>
          <w:rFonts w:ascii="Times New Roman" w:hAnsi="Times New Roman"/>
          <w:sz w:val="24"/>
          <w:szCs w:val="24"/>
        </w:rPr>
        <w:t>ide értve</w:t>
      </w:r>
      <w:proofErr w:type="gramEnd"/>
      <w:r w:rsidR="003B4277"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362D9475"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0DA52393"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értelmében a tárgyévben is bevételnek, bevételnövelő tételnek minősülnek</w:t>
      </w:r>
      <w:r w:rsidR="00BE4932" w:rsidRPr="00053BD5">
        <w:rPr>
          <w:rFonts w:ascii="Times New Roman" w:hAnsi="Times New Roman"/>
          <w:sz w:val="24"/>
          <w:szCs w:val="24"/>
        </w:rPr>
        <w:t>.</w:t>
      </w:r>
    </w:p>
    <w:p w14:paraId="1352746E"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5D495203"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 xml:space="preserve">25. sor: Amennyiben a </w:t>
      </w:r>
      <w:proofErr w:type="spellStart"/>
      <w:r>
        <w:rPr>
          <w:rFonts w:ascii="Times New Roman" w:eastAsia="Arial" w:hAnsi="Times New Roman" w:cs="Times New Roman"/>
          <w:sz w:val="24"/>
          <w:szCs w:val="24"/>
        </w:rPr>
        <w:t>Főlap</w:t>
      </w:r>
      <w:proofErr w:type="spellEnd"/>
      <w:r>
        <w:rPr>
          <w:rFonts w:ascii="Times New Roman" w:eastAsia="Arial" w:hAnsi="Times New Roman" w:cs="Times New Roman"/>
          <w:sz w:val="24"/>
          <w:szCs w:val="24"/>
        </w:rPr>
        <w:t xml:space="preserve">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60DC23D1"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7856E3E3"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387168F0"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71D38132"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5A105C57"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40B35524"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14:paraId="3AD61042"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szerinti,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413A8713"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7D5CA83C"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14:paraId="66AEF8CF"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618C1682"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w:t>
      </w:r>
      <w:proofErr w:type="gramEnd"/>
      <w:r w:rsidRPr="00B37DA2">
        <w:rPr>
          <w:rFonts w:ascii="Times New Roman" w:eastAsia="Arial" w:hAnsi="Times New Roman" w:cs="Times New Roman"/>
          <w:color w:val="1A171C"/>
          <w:sz w:val="24"/>
          <w:szCs w:val="24"/>
          <w:shd w:val="clear" w:color="auto" w:fill="FFFFFF"/>
          <w:lang w:eastAsia="hu-HU" w:bidi="hu-HU"/>
        </w:rPr>
        <w:t xml:space="preserve"> könyv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-t.</w:t>
      </w:r>
    </w:p>
    <w:p w14:paraId="564855FD"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30179FCE"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w:t>
      </w:r>
      <w:proofErr w:type="spellEnd"/>
      <w:r w:rsidR="005A3E11" w:rsidRPr="005A3E11">
        <w:rPr>
          <w:rFonts w:ascii="Times New Roman" w:eastAsia="Arial" w:hAnsi="Times New Roman" w:cs="Times New Roman"/>
          <w:color w:val="1A171C"/>
          <w:sz w:val="24"/>
          <w:szCs w:val="24"/>
          <w:shd w:val="clear" w:color="auto" w:fill="FFFFFF"/>
          <w:lang w:eastAsia="hu-HU" w:bidi="hu-HU"/>
        </w:rPr>
        <w:t>-ként már figyelembe vett</w:t>
      </w:r>
      <w:r w:rsidRPr="005A3E11">
        <w:rPr>
          <w:rFonts w:ascii="Times New Roman" w:eastAsia="Arial" w:hAnsi="Times New Roman" w:cs="Times New Roman"/>
          <w:sz w:val="24"/>
          <w:szCs w:val="24"/>
        </w:rPr>
        <w:t>.</w:t>
      </w:r>
    </w:p>
    <w:p w14:paraId="155A73F6"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4A1F5AD7"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14:paraId="2FECC5F8"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29738919"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505F3AEE"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14:paraId="706494CC"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5DAD5C3B"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5EB822AA"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5916CECA"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5B07FEF6"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5CCD0C91"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4167F16A"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4BA54813"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1ECACF34"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IFRS-ek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657BD09C"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59FEDEE4"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21B9B216"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6BF1C6FD"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356BBF50"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52. § 32. pont] egyaránt vonatkozik a könyveiket az IFRS-ek szerinti, illetve a magyar számviteli törvény szerint vezető vállalkozásokra.</w:t>
      </w:r>
    </w:p>
    <w:p w14:paraId="01972D05"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1FA6BAD6"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5A5A690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 xml:space="preserve">ban rendelnek figyelembe venni. Ennek megfelelően </w:t>
      </w:r>
      <w:proofErr w:type="gramStart"/>
      <w:r w:rsidRPr="00B37DA2">
        <w:rPr>
          <w:rFonts w:ascii="Times New Roman" w:eastAsia="Arial" w:hAnsi="Times New Roman" w:cs="Times New Roman"/>
          <w:color w:val="1A171C"/>
          <w:sz w:val="24"/>
          <w:szCs w:val="24"/>
          <w:shd w:val="clear" w:color="auto" w:fill="FFFFFF"/>
          <w:lang w:eastAsia="hu-HU" w:bidi="hu-HU"/>
        </w:rPr>
        <w:t>egyes esetekben</w:t>
      </w:r>
      <w:proofErr w:type="gramEnd"/>
      <w:r w:rsidRPr="00B37DA2">
        <w:rPr>
          <w:rFonts w:ascii="Times New Roman" w:eastAsia="Arial" w:hAnsi="Times New Roman" w:cs="Times New Roman"/>
          <w:color w:val="1A171C"/>
          <w:sz w:val="24"/>
          <w:szCs w:val="24"/>
          <w:shd w:val="clear" w:color="auto" w:fill="FFFFFF"/>
          <w:lang w:eastAsia="hu-HU" w:bidi="hu-HU"/>
        </w:rPr>
        <w:t xml:space="preserve">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597CFDB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14:paraId="2B1F0DEF"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61664E3B"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87522D" w:rsidRPr="00B37DA2">
        <w:rPr>
          <w:rFonts w:ascii="Times New Roman" w:eastAsia="Arial" w:hAnsi="Times New Roman" w:cs="Times New Roman"/>
          <w:color w:val="1A171C"/>
          <w:sz w:val="24"/>
          <w:szCs w:val="24"/>
          <w:shd w:val="clear" w:color="auto" w:fill="FFFFFF"/>
          <w:lang w:eastAsia="hu-HU" w:bidi="hu-HU"/>
        </w:rPr>
        <w:t>Főlap</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2CD4276B"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61F9029E"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28E663EE"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299476F5"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3FA45225"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1DF037AD"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2394A058"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17D8282A"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5A897EB7"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67CF19C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0F1DE030"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082E3794"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5D20D8" w:rsidRPr="00B37DA2">
        <w:rPr>
          <w:rFonts w:ascii="Times New Roman" w:eastAsia="Arial" w:hAnsi="Times New Roman" w:cs="Times New Roman"/>
          <w:color w:val="1A171C"/>
          <w:sz w:val="24"/>
          <w:szCs w:val="24"/>
          <w:shd w:val="clear" w:color="auto" w:fill="FFFFFF"/>
          <w:lang w:eastAsia="hu-HU" w:bidi="hu-HU"/>
        </w:rPr>
        <w:t>Főlap</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7016EDB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3AA9CA10"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1EB9A02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5241D7ED"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43057E2F"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4C697C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11BAA5A9"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4072067B"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716F7E76"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5D5376A4"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65FB627E"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77FE71B5"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775D2935"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4C02CB37"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223AEBA7"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496F2402"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14:paraId="47C53F5C"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14:paraId="751C9611"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14:paraId="64B60EB9" w14:textId="77777777"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14:paraId="375FB57C"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E117A" w14:textId="77777777" w:rsidR="000043A0" w:rsidRDefault="000043A0" w:rsidP="003611F0">
      <w:pPr>
        <w:spacing w:after="0" w:line="240" w:lineRule="auto"/>
      </w:pPr>
      <w:r>
        <w:separator/>
      </w:r>
    </w:p>
  </w:endnote>
  <w:endnote w:type="continuationSeparator" w:id="0">
    <w:p w14:paraId="0EBEB7FF" w14:textId="77777777"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2D90" w14:textId="77777777" w:rsidR="000043A0" w:rsidRDefault="000043A0" w:rsidP="003611F0">
      <w:pPr>
        <w:spacing w:after="0" w:line="240" w:lineRule="auto"/>
      </w:pPr>
      <w:r>
        <w:separator/>
      </w:r>
    </w:p>
  </w:footnote>
  <w:footnote w:type="continuationSeparator" w:id="0">
    <w:p w14:paraId="2F7CEA92" w14:textId="77777777" w:rsidR="000043A0" w:rsidRDefault="000043A0" w:rsidP="003611F0">
      <w:pPr>
        <w:spacing w:after="0" w:line="240" w:lineRule="auto"/>
      </w:pPr>
      <w:r>
        <w:continuationSeparator/>
      </w:r>
    </w:p>
  </w:footnote>
  <w:footnote w:id="1">
    <w:p w14:paraId="09D168B4" w14:textId="77777777"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41AA868D" w14:textId="77777777"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4DC6" w14:textId="77777777" w:rsidR="006C5D9C" w:rsidRDefault="006C5D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C5D9C"/>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E3CB"/>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 w:type="paragraph" w:styleId="lfej">
    <w:name w:val="header"/>
    <w:basedOn w:val="Norml"/>
    <w:link w:val="lfejChar"/>
    <w:uiPriority w:val="99"/>
    <w:unhideWhenUsed/>
    <w:rsid w:val="006C5D9C"/>
    <w:pPr>
      <w:tabs>
        <w:tab w:val="center" w:pos="4536"/>
        <w:tab w:val="right" w:pos="9072"/>
      </w:tabs>
      <w:spacing w:after="0" w:line="240" w:lineRule="auto"/>
    </w:pPr>
  </w:style>
  <w:style w:type="character" w:customStyle="1" w:styleId="lfejChar">
    <w:name w:val="Élőfej Char"/>
    <w:basedOn w:val="Bekezdsalapbettpusa"/>
    <w:link w:val="lfej"/>
    <w:uiPriority w:val="99"/>
    <w:rsid w:val="006C5D9C"/>
  </w:style>
  <w:style w:type="paragraph" w:styleId="llb">
    <w:name w:val="footer"/>
    <w:basedOn w:val="Norml"/>
    <w:link w:val="llbChar"/>
    <w:uiPriority w:val="99"/>
    <w:unhideWhenUsed/>
    <w:rsid w:val="006C5D9C"/>
    <w:pPr>
      <w:tabs>
        <w:tab w:val="center" w:pos="4536"/>
        <w:tab w:val="right" w:pos="9072"/>
      </w:tabs>
      <w:spacing w:after="0" w:line="240" w:lineRule="auto"/>
    </w:pPr>
  </w:style>
  <w:style w:type="character" w:customStyle="1" w:styleId="llbChar">
    <w:name w:val="Élőláb Char"/>
    <w:basedOn w:val="Bekezdsalapbettpusa"/>
    <w:link w:val="llb"/>
    <w:uiPriority w:val="99"/>
    <w:rsid w:val="006C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12DEF-D27A-4142-B5B0-2047BC1940DB}">
  <ds:schemaRefs>
    <ds:schemaRef ds:uri="http://schemas.openxmlformats.org/officeDocument/2006/bibliography"/>
  </ds:schemaRefs>
</ds:datastoreItem>
</file>

<file path=customXml/itemProps2.xml><?xml version="1.0" encoding="utf-8"?>
<ds:datastoreItem xmlns:ds="http://schemas.openxmlformats.org/officeDocument/2006/customXml" ds:itemID="{D6502E0B-FB7A-444D-9F5A-D8C939BA6B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Molnár Ferencné</cp:lastModifiedBy>
  <cp:revision>2</cp:revision>
  <cp:lastPrinted>2020-12-21T08:32:00Z</cp:lastPrinted>
  <dcterms:created xsi:type="dcterms:W3CDTF">2021-01-21T10:06:00Z</dcterms:created>
  <dcterms:modified xsi:type="dcterms:W3CDTF">2021-01-21T10:06:00Z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